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58" w:rsidRPr="00EC0DE2" w:rsidRDefault="005C6058" w:rsidP="006D2A97">
      <w:pPr>
        <w:keepNext/>
        <w:keepLines/>
        <w:spacing w:line="276" w:lineRule="auto"/>
        <w:jc w:val="center"/>
        <w:rPr>
          <w:b/>
          <w:sz w:val="26"/>
          <w:szCs w:val="26"/>
        </w:rPr>
      </w:pPr>
      <w:r w:rsidRPr="00EC0DE2">
        <w:rPr>
          <w:b/>
          <w:sz w:val="26"/>
          <w:szCs w:val="26"/>
        </w:rPr>
        <w:t>PONTIFICIA FACOLT</w:t>
      </w:r>
      <w:r w:rsidR="00EC0DE2" w:rsidRPr="00EC0DE2">
        <w:rPr>
          <w:b/>
          <w:sz w:val="26"/>
          <w:szCs w:val="26"/>
        </w:rPr>
        <w:t xml:space="preserve">À </w:t>
      </w:r>
      <w:r w:rsidRPr="00EC0DE2">
        <w:rPr>
          <w:b/>
          <w:sz w:val="26"/>
          <w:szCs w:val="26"/>
        </w:rPr>
        <w:t>TEOLOGICA DELL’ITALIA MERIDIONALE</w:t>
      </w:r>
    </w:p>
    <w:p w:rsidR="005C6058" w:rsidRPr="007B2FC5" w:rsidRDefault="000F7816" w:rsidP="006D2A97">
      <w:pPr>
        <w:keepNext/>
        <w:keepLines/>
        <w:spacing w:line="276" w:lineRule="auto"/>
        <w:jc w:val="center"/>
        <w:rPr>
          <w:b/>
          <w:smallCaps/>
          <w:sz w:val="32"/>
          <w:szCs w:val="32"/>
        </w:rPr>
      </w:pPr>
      <w:r w:rsidRPr="007B2FC5">
        <w:rPr>
          <w:b/>
          <w:smallCaps/>
          <w:sz w:val="32"/>
          <w:szCs w:val="32"/>
        </w:rPr>
        <w:t>Istituto Superiore d</w:t>
      </w:r>
      <w:r w:rsidR="005C6058" w:rsidRPr="007B2FC5">
        <w:rPr>
          <w:b/>
          <w:smallCaps/>
          <w:sz w:val="32"/>
          <w:szCs w:val="32"/>
        </w:rPr>
        <w:t>i Scienze Religiose Interdiocesano</w:t>
      </w:r>
    </w:p>
    <w:p w:rsidR="005C6058" w:rsidRPr="007B2FC5" w:rsidRDefault="000F7816" w:rsidP="006D2A97">
      <w:pPr>
        <w:keepNext/>
        <w:keepLines/>
        <w:spacing w:line="276" w:lineRule="auto"/>
        <w:jc w:val="center"/>
        <w:rPr>
          <w:b/>
          <w:i/>
          <w:sz w:val="28"/>
          <w:szCs w:val="28"/>
        </w:rPr>
      </w:pPr>
      <w:r w:rsidRPr="007B2FC5">
        <w:rPr>
          <w:b/>
          <w:i/>
          <w:sz w:val="28"/>
          <w:szCs w:val="28"/>
        </w:rPr>
        <w:t>Ss</w:t>
      </w:r>
      <w:r w:rsidR="005C6058" w:rsidRPr="007B2FC5">
        <w:rPr>
          <w:b/>
          <w:i/>
          <w:sz w:val="28"/>
          <w:szCs w:val="28"/>
        </w:rPr>
        <w:t>. APOSTOLI PIETRO E PAOLO</w:t>
      </w:r>
    </w:p>
    <w:p w:rsidR="005C6058" w:rsidRDefault="005C6058" w:rsidP="006D2A97">
      <w:pPr>
        <w:keepNext/>
        <w:keepLines/>
        <w:spacing w:line="276" w:lineRule="auto"/>
        <w:jc w:val="center"/>
        <w:rPr>
          <w:b/>
          <w:smallCaps/>
          <w:sz w:val="28"/>
          <w:szCs w:val="28"/>
        </w:rPr>
      </w:pPr>
      <w:r w:rsidRPr="007B2FC5">
        <w:rPr>
          <w:b/>
          <w:smallCaps/>
          <w:sz w:val="28"/>
          <w:szCs w:val="28"/>
        </w:rPr>
        <w:t>Area casertana</w:t>
      </w:r>
    </w:p>
    <w:p w:rsidR="006D2A97" w:rsidRPr="006D2A97" w:rsidRDefault="006D2A97" w:rsidP="006D2A97">
      <w:pPr>
        <w:keepNext/>
        <w:keepLines/>
        <w:spacing w:line="276" w:lineRule="auto"/>
        <w:jc w:val="center"/>
        <w:rPr>
          <w:b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C6058" w:rsidTr="005C6058">
        <w:trPr>
          <w:trHeight w:val="1013"/>
        </w:trPr>
        <w:tc>
          <w:tcPr>
            <w:tcW w:w="9778" w:type="dxa"/>
          </w:tcPr>
          <w:p w:rsidR="005C6058" w:rsidRPr="00283C60" w:rsidRDefault="005C6058" w:rsidP="006D2A97">
            <w:pPr>
              <w:spacing w:before="120" w:line="276" w:lineRule="auto"/>
              <w:jc w:val="center"/>
              <w:rPr>
                <w:rFonts w:ascii="Rockwell Extra Bold" w:hAnsi="Rockwell Extra Bold" w:cs="Aharoni"/>
                <w:smallCaps/>
                <w:sz w:val="32"/>
                <w:szCs w:val="32"/>
              </w:rPr>
            </w:pPr>
            <w:r w:rsidRPr="00283C60">
              <w:rPr>
                <w:rFonts w:ascii="Rockwell Extra Bold" w:hAnsi="Rockwell Extra Bold" w:cs="Aharoni"/>
                <w:smallCaps/>
                <w:sz w:val="32"/>
                <w:szCs w:val="32"/>
              </w:rPr>
              <w:t>Tesario</w:t>
            </w:r>
          </w:p>
          <w:p w:rsidR="005C6058" w:rsidRDefault="00EC0DE2" w:rsidP="006D2A97">
            <w:pPr>
              <w:spacing w:line="276" w:lineRule="auto"/>
              <w:jc w:val="center"/>
              <w:rPr>
                <w:rFonts w:ascii="Rockwell Extra Bold" w:hAnsi="Rockwell Extra Bold" w:cs="Aharoni"/>
                <w:smallCaps/>
                <w:sz w:val="32"/>
                <w:szCs w:val="32"/>
              </w:rPr>
            </w:pPr>
            <w:r>
              <w:rPr>
                <w:rFonts w:ascii="Rockwell Extra Bold" w:hAnsi="Rockwell Extra Bold" w:cs="Aharoni"/>
                <w:smallCaps/>
                <w:sz w:val="32"/>
                <w:szCs w:val="32"/>
              </w:rPr>
              <w:t>e</w:t>
            </w:r>
            <w:r w:rsidR="005C6058" w:rsidRPr="00283C60">
              <w:rPr>
                <w:rFonts w:ascii="Rockwell Extra Bold" w:hAnsi="Rockwell Extra Bold" w:cs="Aharoni"/>
                <w:smallCaps/>
                <w:sz w:val="32"/>
                <w:szCs w:val="32"/>
              </w:rPr>
              <w:t>same comprensivo finale</w:t>
            </w:r>
          </w:p>
          <w:p w:rsidR="006D2A97" w:rsidRPr="005C6058" w:rsidRDefault="006D2A97" w:rsidP="006D2A97">
            <w:pPr>
              <w:spacing w:line="276" w:lineRule="auto"/>
              <w:jc w:val="center"/>
              <w:rPr>
                <w:rFonts w:ascii="Algerian" w:hAnsi="Algerian"/>
                <w:b/>
                <w:sz w:val="40"/>
                <w:szCs w:val="40"/>
              </w:rPr>
            </w:pPr>
            <w:r>
              <w:rPr>
                <w:rFonts w:ascii="Rockwell Extra Bold" w:hAnsi="Rockwell Extra Bold" w:cs="Aharoni"/>
                <w:smallCaps/>
                <w:sz w:val="32"/>
                <w:szCs w:val="32"/>
              </w:rPr>
              <w:t>Anno Accademico 2019/2020</w:t>
            </w:r>
          </w:p>
        </w:tc>
      </w:tr>
    </w:tbl>
    <w:p w:rsidR="00EA6DA1" w:rsidRPr="0050135A" w:rsidRDefault="00EA6DA1" w:rsidP="005C6058">
      <w:pPr>
        <w:spacing w:line="276" w:lineRule="auto"/>
        <w:rPr>
          <w:b/>
          <w:sz w:val="28"/>
          <w:szCs w:val="28"/>
        </w:rPr>
      </w:pPr>
    </w:p>
    <w:p w:rsidR="006D2A97" w:rsidRPr="006D2A97" w:rsidRDefault="006D2A97" w:rsidP="006D2A97">
      <w:pPr>
        <w:spacing w:line="276" w:lineRule="auto"/>
        <w:jc w:val="both"/>
        <w:rPr>
          <w:b/>
        </w:rPr>
      </w:pPr>
      <w:r w:rsidRPr="006D2A97">
        <w:rPr>
          <w:b/>
        </w:rPr>
        <w:t>TEOLOGIA DOGMATICA</w:t>
      </w:r>
    </w:p>
    <w:p w:rsidR="006D2A97" w:rsidRPr="006D2A97" w:rsidRDefault="006D2A97" w:rsidP="006D2A97">
      <w:pPr>
        <w:pStyle w:val="Paragrafoelenco"/>
        <w:spacing w:line="276" w:lineRule="auto"/>
        <w:ind w:left="709"/>
        <w:jc w:val="both"/>
        <w:rPr>
          <w:sz w:val="16"/>
          <w:szCs w:val="16"/>
        </w:rPr>
      </w:pPr>
    </w:p>
    <w:p w:rsidR="006D2A97" w:rsidRPr="006D2A97" w:rsidRDefault="006D2A97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>La dottrina cristologica dei primi concili (Nicea, Costantinopoli, Efeso, Calcedonia).</w:t>
      </w:r>
    </w:p>
    <w:p w:rsidR="006D2A97" w:rsidRPr="006D2A97" w:rsidRDefault="006D2A97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 xml:space="preserve">Peccato originale e giustificazione nella dottrina cattolica (Trento e Vaticano II). </w:t>
      </w:r>
    </w:p>
    <w:p w:rsidR="006D2A97" w:rsidRPr="006D2A97" w:rsidRDefault="006D2A97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 xml:space="preserve">L’escatologia nella S. Scrittura e nella riflessione teologica contemporanea. </w:t>
      </w:r>
    </w:p>
    <w:p w:rsidR="006D2A97" w:rsidRDefault="006D2A97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>La mediazione salvifica della Chiesa nell’insegnamento del Vaticano II.</w:t>
      </w:r>
    </w:p>
    <w:p w:rsidR="007C0828" w:rsidRPr="006D2A97" w:rsidRDefault="007C0828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Rivelazione, Tradizione e ispirazione nella costituzione dogmatica </w:t>
      </w:r>
      <w:r w:rsidRPr="007C0828">
        <w:rPr>
          <w:i/>
          <w:sz w:val="26"/>
          <w:szCs w:val="26"/>
        </w:rPr>
        <w:t>Dei Verbum</w:t>
      </w:r>
      <w:r>
        <w:rPr>
          <w:sz w:val="26"/>
          <w:szCs w:val="26"/>
        </w:rPr>
        <w:t>.</w:t>
      </w:r>
    </w:p>
    <w:p w:rsidR="006D2A97" w:rsidRPr="006D2A97" w:rsidRDefault="006D2A97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 xml:space="preserve">La mariologia conciliare: la B.V. Maria nel cap. VIII di </w:t>
      </w:r>
      <w:r w:rsidRPr="006D2A97">
        <w:rPr>
          <w:i/>
          <w:sz w:val="26"/>
          <w:szCs w:val="26"/>
        </w:rPr>
        <w:t>Lumen Gentium</w:t>
      </w:r>
      <w:r w:rsidRPr="006D2A97">
        <w:rPr>
          <w:sz w:val="26"/>
          <w:szCs w:val="26"/>
        </w:rPr>
        <w:t>.</w:t>
      </w:r>
    </w:p>
    <w:p w:rsidR="006D2A97" w:rsidRPr="006D2A97" w:rsidRDefault="006D2A97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>I sacramenti dell’iniziazione cristiana: Battesimo, Cresima e Eucaristia.</w:t>
      </w:r>
    </w:p>
    <w:p w:rsidR="006D2A97" w:rsidRPr="006D2A97" w:rsidRDefault="006D2A97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 xml:space="preserve">I fondamenti teologici del Diritto Canonico. </w:t>
      </w:r>
    </w:p>
    <w:p w:rsidR="006D2A97" w:rsidRPr="006D2A97" w:rsidRDefault="006D2A97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>La diffusione del cristianesimo nei primi secoli: problemi e figure.</w:t>
      </w:r>
    </w:p>
    <w:p w:rsidR="006D2A97" w:rsidRPr="006D2A97" w:rsidRDefault="006D2A97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>La Chiesa italiana negli anni antecedenti al Vaticano II: d</w:t>
      </w:r>
      <w:bookmarkStart w:id="0" w:name="_GoBack"/>
      <w:bookmarkEnd w:id="0"/>
      <w:r w:rsidRPr="006D2A97">
        <w:rPr>
          <w:sz w:val="26"/>
          <w:szCs w:val="26"/>
        </w:rPr>
        <w:t>a Pio XII a Giovanni XXIII.</w:t>
      </w:r>
    </w:p>
    <w:p w:rsidR="006D2A97" w:rsidRPr="006D2A97" w:rsidRDefault="006D2A97" w:rsidP="006D2A97">
      <w:pPr>
        <w:spacing w:line="276" w:lineRule="auto"/>
        <w:jc w:val="both"/>
        <w:rPr>
          <w:sz w:val="16"/>
          <w:szCs w:val="16"/>
        </w:rPr>
      </w:pPr>
    </w:p>
    <w:p w:rsidR="006D2A97" w:rsidRPr="006D2A97" w:rsidRDefault="006D2A97" w:rsidP="006D2A97">
      <w:pPr>
        <w:spacing w:line="276" w:lineRule="auto"/>
        <w:jc w:val="both"/>
        <w:rPr>
          <w:b/>
        </w:rPr>
      </w:pPr>
      <w:r w:rsidRPr="006D2A97">
        <w:rPr>
          <w:b/>
        </w:rPr>
        <w:t>TEOLOGIA MORALE</w:t>
      </w:r>
    </w:p>
    <w:p w:rsidR="006D2A97" w:rsidRPr="006D2A97" w:rsidRDefault="006D2A97" w:rsidP="006D2A97">
      <w:pPr>
        <w:spacing w:line="276" w:lineRule="auto"/>
        <w:jc w:val="both"/>
        <w:rPr>
          <w:sz w:val="16"/>
          <w:szCs w:val="16"/>
        </w:rPr>
      </w:pPr>
    </w:p>
    <w:p w:rsidR="006D2A97" w:rsidRPr="006D2A97" w:rsidRDefault="006D2A97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 xml:space="preserve">Il ruolo della coscienza nella </w:t>
      </w:r>
      <w:r w:rsidR="00DD47AB">
        <w:rPr>
          <w:sz w:val="26"/>
          <w:szCs w:val="26"/>
        </w:rPr>
        <w:t>t</w:t>
      </w:r>
      <w:r w:rsidRPr="006D2A97">
        <w:rPr>
          <w:sz w:val="26"/>
          <w:szCs w:val="26"/>
        </w:rPr>
        <w:t>eologia morale a partire dal Concilio Vaticano II.</w:t>
      </w:r>
    </w:p>
    <w:p w:rsidR="006D2A97" w:rsidRPr="006D2A97" w:rsidRDefault="006D2A97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>Natura, finalità e principi della Dottrina Sociale della Chiesa.</w:t>
      </w:r>
    </w:p>
    <w:p w:rsidR="006D2A97" w:rsidRPr="006D2A97" w:rsidRDefault="006D2A97" w:rsidP="006D2A97">
      <w:pPr>
        <w:spacing w:line="276" w:lineRule="auto"/>
        <w:jc w:val="both"/>
        <w:rPr>
          <w:b/>
          <w:sz w:val="16"/>
          <w:szCs w:val="16"/>
        </w:rPr>
      </w:pPr>
    </w:p>
    <w:p w:rsidR="006D2A97" w:rsidRPr="006D2A97" w:rsidRDefault="006D2A97" w:rsidP="006D2A97">
      <w:pPr>
        <w:spacing w:line="276" w:lineRule="auto"/>
        <w:jc w:val="both"/>
        <w:rPr>
          <w:b/>
        </w:rPr>
      </w:pPr>
      <w:r w:rsidRPr="006D2A97">
        <w:rPr>
          <w:b/>
        </w:rPr>
        <w:t>SACRA SCRITTURA</w:t>
      </w:r>
    </w:p>
    <w:p w:rsidR="006D2A97" w:rsidRPr="006D2A97" w:rsidRDefault="006D2A97" w:rsidP="006D2A97">
      <w:pPr>
        <w:spacing w:line="276" w:lineRule="auto"/>
        <w:jc w:val="both"/>
        <w:rPr>
          <w:sz w:val="16"/>
          <w:szCs w:val="16"/>
        </w:rPr>
      </w:pPr>
    </w:p>
    <w:p w:rsidR="006D2A97" w:rsidRPr="006D2A97" w:rsidRDefault="006D2A97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>L’Esodo quale esperienza fontale della storia biblica.</w:t>
      </w:r>
    </w:p>
    <w:p w:rsidR="006D2A97" w:rsidRPr="006D2A97" w:rsidRDefault="006D2A97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>La questione sinottica e la teologia dei Sinottici.</w:t>
      </w:r>
    </w:p>
    <w:p w:rsidR="006D2A97" w:rsidRPr="006D2A97" w:rsidRDefault="006D2A97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>La cristologia giovannea.</w:t>
      </w:r>
    </w:p>
    <w:p w:rsidR="006D2A97" w:rsidRPr="006D2A97" w:rsidRDefault="006D2A97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>Il nucleo kerygmatico della teologia paolina.</w:t>
      </w:r>
    </w:p>
    <w:p w:rsidR="006D2A97" w:rsidRPr="006D2A97" w:rsidRDefault="006D2A97" w:rsidP="006D2A97">
      <w:pPr>
        <w:spacing w:line="276" w:lineRule="auto"/>
        <w:rPr>
          <w:sz w:val="16"/>
          <w:szCs w:val="16"/>
        </w:rPr>
      </w:pPr>
    </w:p>
    <w:p w:rsidR="006D2A97" w:rsidRPr="006D2A97" w:rsidRDefault="006D2A97" w:rsidP="006D2A97">
      <w:pPr>
        <w:spacing w:line="276" w:lineRule="auto"/>
        <w:rPr>
          <w:b/>
        </w:rPr>
      </w:pPr>
      <w:r w:rsidRPr="006D2A97">
        <w:rPr>
          <w:b/>
        </w:rPr>
        <w:t>FILOSOFIA</w:t>
      </w:r>
    </w:p>
    <w:p w:rsidR="006D2A97" w:rsidRPr="006D2A97" w:rsidRDefault="006D2A97" w:rsidP="006D2A97">
      <w:pPr>
        <w:spacing w:line="276" w:lineRule="auto"/>
        <w:rPr>
          <w:sz w:val="16"/>
          <w:szCs w:val="16"/>
        </w:rPr>
      </w:pPr>
    </w:p>
    <w:p w:rsidR="006D2A97" w:rsidRPr="006D2A97" w:rsidRDefault="0050135A" w:rsidP="006D2A97">
      <w:pPr>
        <w:pStyle w:val="Paragrafoelenco"/>
        <w:numPr>
          <w:ilvl w:val="0"/>
          <w:numId w:val="5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Il rapporto tra fede e ragione: questioni e problemi.</w:t>
      </w:r>
    </w:p>
    <w:p w:rsidR="006D2A97" w:rsidRPr="006D2A97" w:rsidRDefault="006D2A97" w:rsidP="006D2A97">
      <w:pPr>
        <w:pStyle w:val="Paragrafoelenco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6D2A97">
        <w:rPr>
          <w:sz w:val="26"/>
          <w:szCs w:val="26"/>
        </w:rPr>
        <w:t>La persona in Agostino: la libertà e il male</w:t>
      </w:r>
      <w:r>
        <w:rPr>
          <w:sz w:val="26"/>
          <w:szCs w:val="26"/>
        </w:rPr>
        <w:t>.</w:t>
      </w:r>
    </w:p>
    <w:p w:rsidR="006D2A97" w:rsidRPr="006D2A97" w:rsidRDefault="006D2A97" w:rsidP="006D2A97">
      <w:pPr>
        <w:pStyle w:val="Paragrafoelenco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6D2A97">
        <w:rPr>
          <w:sz w:val="26"/>
          <w:szCs w:val="26"/>
        </w:rPr>
        <w:t>Dio nel pensiero medievale: le prove di Anselmo e le vie di Tommaso</w:t>
      </w:r>
      <w:r>
        <w:rPr>
          <w:sz w:val="26"/>
          <w:szCs w:val="26"/>
        </w:rPr>
        <w:t>.</w:t>
      </w:r>
    </w:p>
    <w:p w:rsidR="006D2A97" w:rsidRPr="006D2A97" w:rsidRDefault="006D2A97" w:rsidP="006D2A97">
      <w:pPr>
        <w:spacing w:line="276" w:lineRule="auto"/>
        <w:rPr>
          <w:sz w:val="16"/>
          <w:szCs w:val="16"/>
        </w:rPr>
      </w:pPr>
    </w:p>
    <w:p w:rsidR="004E4BD1" w:rsidRPr="006D2A97" w:rsidRDefault="004956A3" w:rsidP="006D2A97">
      <w:pPr>
        <w:spacing w:line="276" w:lineRule="auto"/>
        <w:rPr>
          <w:b/>
        </w:rPr>
      </w:pPr>
      <w:r w:rsidRPr="006D2A97">
        <w:rPr>
          <w:b/>
        </w:rPr>
        <w:t>SCIENZE UMANE</w:t>
      </w:r>
    </w:p>
    <w:p w:rsidR="00A44059" w:rsidRPr="006D2A97" w:rsidRDefault="00A44059" w:rsidP="006D2A97">
      <w:pPr>
        <w:spacing w:line="276" w:lineRule="auto"/>
        <w:rPr>
          <w:sz w:val="16"/>
          <w:szCs w:val="16"/>
        </w:rPr>
      </w:pPr>
    </w:p>
    <w:p w:rsidR="005C6058" w:rsidRPr="006D2A97" w:rsidRDefault="005C6058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>Le forme di apprendimento</w:t>
      </w:r>
      <w:r w:rsidR="00E522EF" w:rsidRPr="006D2A97">
        <w:rPr>
          <w:sz w:val="26"/>
          <w:szCs w:val="26"/>
        </w:rPr>
        <w:t>.</w:t>
      </w:r>
    </w:p>
    <w:p w:rsidR="005C6058" w:rsidRPr="006D2A97" w:rsidRDefault="005C6058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>L’educazione nell’età evolutiva</w:t>
      </w:r>
      <w:r w:rsidR="00E522EF" w:rsidRPr="006D2A97">
        <w:rPr>
          <w:sz w:val="26"/>
          <w:szCs w:val="26"/>
        </w:rPr>
        <w:t>.</w:t>
      </w:r>
    </w:p>
    <w:p w:rsidR="00E522EF" w:rsidRPr="006D2A97" w:rsidRDefault="00E522EF" w:rsidP="006D2A97">
      <w:pPr>
        <w:spacing w:line="276" w:lineRule="auto"/>
        <w:ind w:left="4956"/>
      </w:pPr>
    </w:p>
    <w:p w:rsidR="00E522EF" w:rsidRPr="006D2A97" w:rsidRDefault="006D2A97" w:rsidP="006D2A97">
      <w:pPr>
        <w:spacing w:line="276" w:lineRule="auto"/>
      </w:pPr>
      <w:r>
        <w:t xml:space="preserve">                                                                                                            </w:t>
      </w:r>
      <w:r w:rsidR="00E522EF" w:rsidRPr="006D2A97">
        <w:t>Il direttore</w:t>
      </w:r>
    </w:p>
    <w:p w:rsidR="00E522EF" w:rsidRPr="006D2A97" w:rsidRDefault="006D2A97" w:rsidP="006D2A97">
      <w:pPr>
        <w:spacing w:line="276" w:lineRule="auto"/>
        <w:rPr>
          <w:i/>
        </w:rPr>
      </w:pPr>
      <w:r w:rsidRPr="006D2A97">
        <w:rPr>
          <w:i/>
        </w:rPr>
        <w:t xml:space="preserve">                                                                                                  </w:t>
      </w:r>
      <w:r w:rsidR="00A406A5" w:rsidRPr="006D2A97">
        <w:rPr>
          <w:i/>
        </w:rPr>
        <w:t>Prof.</w:t>
      </w:r>
      <w:r w:rsidR="00A406A5" w:rsidRPr="006D2A97">
        <w:t xml:space="preserve"> </w:t>
      </w:r>
      <w:r w:rsidR="00E522EF" w:rsidRPr="006D2A97">
        <w:rPr>
          <w:i/>
        </w:rPr>
        <w:t>Sac. Emilio Nappa</w:t>
      </w:r>
    </w:p>
    <w:sectPr w:rsidR="00E522EF" w:rsidRPr="006D2A97" w:rsidSect="00283C60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5A50"/>
    <w:multiLevelType w:val="hybridMultilevel"/>
    <w:tmpl w:val="CC848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0217"/>
    <w:multiLevelType w:val="hybridMultilevel"/>
    <w:tmpl w:val="7D84A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6919"/>
    <w:multiLevelType w:val="hybridMultilevel"/>
    <w:tmpl w:val="7D84A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1162E"/>
    <w:multiLevelType w:val="hybridMultilevel"/>
    <w:tmpl w:val="7D84A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11C8C"/>
    <w:multiLevelType w:val="hybridMultilevel"/>
    <w:tmpl w:val="BB181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C6058"/>
    <w:rsid w:val="000A48D9"/>
    <w:rsid w:val="000F7816"/>
    <w:rsid w:val="001A2B9D"/>
    <w:rsid w:val="00283C60"/>
    <w:rsid w:val="00361EC4"/>
    <w:rsid w:val="00480F76"/>
    <w:rsid w:val="004956A3"/>
    <w:rsid w:val="004E4BD1"/>
    <w:rsid w:val="0050135A"/>
    <w:rsid w:val="00531513"/>
    <w:rsid w:val="005C6058"/>
    <w:rsid w:val="006A4EE0"/>
    <w:rsid w:val="006D2A97"/>
    <w:rsid w:val="007B2FC5"/>
    <w:rsid w:val="007C0828"/>
    <w:rsid w:val="008A5784"/>
    <w:rsid w:val="00944884"/>
    <w:rsid w:val="00A34EC1"/>
    <w:rsid w:val="00A406A5"/>
    <w:rsid w:val="00A44059"/>
    <w:rsid w:val="00AB3931"/>
    <w:rsid w:val="00B0571D"/>
    <w:rsid w:val="00BF4FDE"/>
    <w:rsid w:val="00DD47AB"/>
    <w:rsid w:val="00E522EF"/>
    <w:rsid w:val="00EA6DA1"/>
    <w:rsid w:val="00EC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C6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ROMANITAS</cp:lastModifiedBy>
  <cp:revision>12</cp:revision>
  <cp:lastPrinted>2019-05-08T17:55:00Z</cp:lastPrinted>
  <dcterms:created xsi:type="dcterms:W3CDTF">2019-05-20T10:24:00Z</dcterms:created>
  <dcterms:modified xsi:type="dcterms:W3CDTF">2020-03-02T12:40:00Z</dcterms:modified>
</cp:coreProperties>
</file>