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7E" w:rsidRDefault="00640112">
      <w:pPr>
        <w:pStyle w:val="Titolo1"/>
        <w:rPr>
          <w:sz w:val="36"/>
          <w:szCs w:val="36"/>
        </w:rPr>
      </w:pPr>
      <w:r>
        <w:rPr>
          <w:sz w:val="36"/>
          <w:szCs w:val="36"/>
        </w:rPr>
        <w:t>P</w:t>
      </w:r>
      <w:r>
        <w:rPr>
          <w:sz w:val="24"/>
          <w:szCs w:val="24"/>
        </w:rPr>
        <w:t xml:space="preserve">ONTIFICA </w:t>
      </w:r>
      <w:r>
        <w:rPr>
          <w:sz w:val="36"/>
          <w:szCs w:val="36"/>
        </w:rPr>
        <w:t>F</w:t>
      </w:r>
      <w:r>
        <w:rPr>
          <w:sz w:val="24"/>
          <w:szCs w:val="24"/>
        </w:rPr>
        <w:t xml:space="preserve">ACOLTÀ </w:t>
      </w:r>
      <w:r>
        <w:rPr>
          <w:sz w:val="36"/>
          <w:szCs w:val="36"/>
        </w:rPr>
        <w:t>T</w:t>
      </w:r>
      <w:r>
        <w:rPr>
          <w:sz w:val="24"/>
          <w:szCs w:val="24"/>
        </w:rPr>
        <w:t>EOLOGICA DELL</w:t>
      </w:r>
      <w:r>
        <w:rPr>
          <w:sz w:val="36"/>
          <w:szCs w:val="36"/>
        </w:rPr>
        <w:t>’I</w:t>
      </w:r>
      <w:r>
        <w:rPr>
          <w:sz w:val="24"/>
          <w:szCs w:val="24"/>
        </w:rPr>
        <w:t xml:space="preserve">TALIA </w:t>
      </w:r>
      <w:r>
        <w:rPr>
          <w:sz w:val="36"/>
          <w:szCs w:val="36"/>
        </w:rPr>
        <w:t>M</w:t>
      </w:r>
      <w:r>
        <w:rPr>
          <w:sz w:val="24"/>
          <w:szCs w:val="24"/>
        </w:rPr>
        <w:t>ERIDIONALE</w:t>
      </w:r>
    </w:p>
    <w:p w:rsidR="00F8547E" w:rsidRDefault="00F8547E"/>
    <w:p w:rsidR="00F8547E" w:rsidRDefault="00640112">
      <w:pPr>
        <w:jc w:val="center"/>
        <w:rPr>
          <w:b/>
          <w:sz w:val="28"/>
          <w:szCs w:val="28"/>
        </w:rPr>
      </w:pPr>
      <w:r>
        <w:rPr>
          <w:b/>
          <w:sz w:val="28"/>
          <w:szCs w:val="28"/>
        </w:rPr>
        <w:t>ISTITUTO SUPERIORE DI SCIENZE RELIGIOSE</w:t>
      </w:r>
    </w:p>
    <w:p w:rsidR="00F8547E" w:rsidRDefault="00640112">
      <w:pPr>
        <w:jc w:val="center"/>
        <w:rPr>
          <w:b/>
          <w:sz w:val="28"/>
          <w:szCs w:val="28"/>
        </w:rPr>
      </w:pPr>
      <w:r>
        <w:rPr>
          <w:b/>
          <w:sz w:val="28"/>
          <w:szCs w:val="28"/>
        </w:rPr>
        <w:t>INTERDIOCESANO</w:t>
      </w:r>
    </w:p>
    <w:p w:rsidR="00F8547E" w:rsidRDefault="00640112">
      <w:pPr>
        <w:jc w:val="center"/>
        <w:rPr>
          <w:b/>
          <w:sz w:val="28"/>
          <w:szCs w:val="28"/>
        </w:rPr>
      </w:pPr>
      <w:r>
        <w:rPr>
          <w:b/>
          <w:sz w:val="28"/>
          <w:szCs w:val="28"/>
        </w:rPr>
        <w:t>“S</w:t>
      </w:r>
      <w:r w:rsidR="005A3776">
        <w:rPr>
          <w:b/>
          <w:sz w:val="28"/>
          <w:szCs w:val="28"/>
        </w:rPr>
        <w:t>s</w:t>
      </w:r>
      <w:r>
        <w:rPr>
          <w:b/>
          <w:sz w:val="28"/>
          <w:szCs w:val="28"/>
        </w:rPr>
        <w:t>. APOSTOLI PIETRO E PAOLO”</w:t>
      </w:r>
    </w:p>
    <w:p w:rsidR="00F8547E" w:rsidRDefault="00640112">
      <w:pPr>
        <w:jc w:val="center"/>
        <w:rPr>
          <w:b/>
          <w:sz w:val="28"/>
          <w:szCs w:val="28"/>
        </w:rPr>
      </w:pPr>
      <w:r>
        <w:rPr>
          <w:b/>
          <w:sz w:val="28"/>
          <w:szCs w:val="28"/>
        </w:rPr>
        <w:t>AREA CASERTANA</w:t>
      </w:r>
    </w:p>
    <w:p w:rsidR="00F8547E" w:rsidRDefault="00640112">
      <w:pPr>
        <w:spacing w:after="43" w:line="259" w:lineRule="auto"/>
        <w:ind w:right="4"/>
        <w:jc w:val="center"/>
      </w:pPr>
      <w:r>
        <w:rPr>
          <w:sz w:val="16"/>
          <w:szCs w:val="16"/>
        </w:rPr>
        <w:t xml:space="preserve">_______________ </w:t>
      </w:r>
    </w:p>
    <w:p w:rsidR="00F8547E" w:rsidRDefault="00F8547E">
      <w:pPr>
        <w:spacing w:after="45" w:line="259" w:lineRule="auto"/>
        <w:jc w:val="center"/>
      </w:pPr>
    </w:p>
    <w:p w:rsidR="00F8547E" w:rsidRDefault="00640112">
      <w:pPr>
        <w:spacing w:after="0" w:line="259" w:lineRule="auto"/>
        <w:ind w:right="7"/>
        <w:jc w:val="center"/>
      </w:pPr>
      <w:r>
        <w:rPr>
          <w:b/>
          <w:sz w:val="28"/>
          <w:szCs w:val="28"/>
        </w:rPr>
        <w:t>N</w:t>
      </w:r>
      <w:r>
        <w:rPr>
          <w:b/>
          <w:sz w:val="22"/>
          <w:szCs w:val="22"/>
        </w:rPr>
        <w:t>ORME METODOLOGICHE PER LA STESURA</w:t>
      </w:r>
      <w:r w:rsidR="005A3776">
        <w:rPr>
          <w:b/>
          <w:sz w:val="22"/>
          <w:szCs w:val="22"/>
        </w:rPr>
        <w:t xml:space="preserve"> </w:t>
      </w:r>
      <w:r>
        <w:rPr>
          <w:b/>
          <w:sz w:val="22"/>
          <w:szCs w:val="22"/>
        </w:rPr>
        <w:t>DEGLI ELABORATI</w:t>
      </w:r>
    </w:p>
    <w:p w:rsidR="00F8547E" w:rsidRDefault="00F8547E">
      <w:pPr>
        <w:spacing w:after="0" w:line="259" w:lineRule="auto"/>
        <w:jc w:val="left"/>
      </w:pPr>
    </w:p>
    <w:p w:rsidR="00F8547E" w:rsidRDefault="00640112">
      <w:pPr>
        <w:spacing w:after="27"/>
      </w:pPr>
      <w:r>
        <w:t xml:space="preserve">Nella </w:t>
      </w:r>
      <w:r>
        <w:rPr>
          <w:b/>
        </w:rPr>
        <w:t>stesura</w:t>
      </w:r>
      <w:r>
        <w:t xml:space="preserve"> di un lavoro scritto bisogna attenersi alle seguenti indicazioni metodologiche: </w:t>
      </w:r>
    </w:p>
    <w:p w:rsidR="00F8547E" w:rsidRDefault="00F8547E">
      <w:pPr>
        <w:spacing w:after="0" w:line="259" w:lineRule="auto"/>
        <w:jc w:val="left"/>
      </w:pPr>
    </w:p>
    <w:p w:rsidR="00F8547E" w:rsidRDefault="00640112">
      <w:pPr>
        <w:spacing w:after="0" w:line="259" w:lineRule="auto"/>
        <w:jc w:val="left"/>
      </w:pPr>
      <w:r>
        <w:rPr>
          <w:b/>
        </w:rPr>
        <w:t xml:space="preserve">1. Presentazione </w:t>
      </w:r>
    </w:p>
    <w:p w:rsidR="00F8547E" w:rsidRDefault="00640112">
      <w:pPr>
        <w:spacing w:after="27"/>
      </w:pPr>
      <w:r>
        <w:t xml:space="preserve">Ogni lavoro sarà stampato su fogli scritti su una sola facciata. </w:t>
      </w:r>
    </w:p>
    <w:p w:rsidR="00F8547E" w:rsidRDefault="00F8547E">
      <w:pPr>
        <w:spacing w:after="0" w:line="259" w:lineRule="auto"/>
        <w:jc w:val="left"/>
      </w:pPr>
    </w:p>
    <w:p w:rsidR="00F8547E" w:rsidRDefault="00640112">
      <w:pPr>
        <w:pStyle w:val="Titolo2"/>
      </w:pPr>
      <w:r>
        <w:t xml:space="preserve">2. Parti fondamentali </w:t>
      </w:r>
    </w:p>
    <w:p w:rsidR="00F8547E" w:rsidRDefault="00640112">
      <w:pPr>
        <w:spacing w:after="61"/>
      </w:pPr>
      <w:r>
        <w:t xml:space="preserve">Le parti fondamentali di ogni lavoro sono: </w:t>
      </w:r>
    </w:p>
    <w:p w:rsidR="00F8547E" w:rsidRDefault="00640112">
      <w:pPr>
        <w:spacing w:after="27"/>
      </w:pPr>
      <w:r>
        <w:rPr>
          <w:rFonts w:ascii="Quattrocento Sans" w:eastAsia="Quattrocento Sans" w:hAnsi="Quattrocento Sans" w:cs="Quattrocento Sans"/>
        </w:rPr>
        <w:t>•</w:t>
      </w:r>
      <w:r>
        <w:t xml:space="preserve">la presentazione o </w:t>
      </w:r>
      <w:r>
        <w:rPr>
          <w:b/>
        </w:rPr>
        <w:t>introduzione</w:t>
      </w:r>
      <w:r>
        <w:t xml:space="preserve">, </w:t>
      </w:r>
    </w:p>
    <w:p w:rsidR="00F8547E" w:rsidRDefault="00640112">
      <w:pPr>
        <w:spacing w:after="27"/>
      </w:pPr>
      <w:r>
        <w:rPr>
          <w:rFonts w:ascii="Quattrocento Sans" w:eastAsia="Quattrocento Sans" w:hAnsi="Quattrocento Sans" w:cs="Quattrocento Sans"/>
        </w:rPr>
        <w:t>•</w:t>
      </w:r>
      <w:r>
        <w:t xml:space="preserve">il </w:t>
      </w:r>
      <w:r>
        <w:rPr>
          <w:b/>
        </w:rPr>
        <w:t>testo</w:t>
      </w:r>
      <w:r>
        <w:t xml:space="preserve"> e le sue </w:t>
      </w:r>
      <w:r>
        <w:rPr>
          <w:b/>
        </w:rPr>
        <w:t>note</w:t>
      </w:r>
      <w:r>
        <w:t xml:space="preserve">, </w:t>
      </w:r>
    </w:p>
    <w:p w:rsidR="00F8547E" w:rsidRDefault="00640112">
      <w:pPr>
        <w:pStyle w:val="Titolo2"/>
        <w:rPr>
          <w:rFonts w:ascii="Quattrocento Sans" w:eastAsia="Quattrocento Sans" w:hAnsi="Quattrocento Sans" w:cs="Quattrocento Sans"/>
          <w:b w:val="0"/>
        </w:rPr>
      </w:pPr>
      <w:r>
        <w:rPr>
          <w:rFonts w:ascii="Quattrocento Sans" w:eastAsia="Quattrocento Sans" w:hAnsi="Quattrocento Sans" w:cs="Quattrocento Sans"/>
          <w:b w:val="0"/>
        </w:rPr>
        <w:t>•</w:t>
      </w:r>
      <w:r>
        <w:rPr>
          <w:b w:val="0"/>
        </w:rPr>
        <w:t xml:space="preserve">le </w:t>
      </w:r>
      <w:r>
        <w:t>sigle</w:t>
      </w:r>
      <w:r>
        <w:rPr>
          <w:b w:val="0"/>
        </w:rPr>
        <w:t xml:space="preserve"> e/o </w:t>
      </w:r>
      <w:r>
        <w:t>abbreviazioni</w:t>
      </w:r>
      <w:r>
        <w:rPr>
          <w:b w:val="0"/>
        </w:rPr>
        <w:t>,</w:t>
      </w:r>
    </w:p>
    <w:p w:rsidR="00F8547E" w:rsidRDefault="00640112">
      <w:pPr>
        <w:pStyle w:val="Titolo2"/>
        <w:rPr>
          <w:b w:val="0"/>
        </w:rPr>
      </w:pPr>
      <w:r>
        <w:rPr>
          <w:rFonts w:ascii="Quattrocento Sans" w:eastAsia="Quattrocento Sans" w:hAnsi="Quattrocento Sans" w:cs="Quattrocento Sans"/>
          <w:b w:val="0"/>
        </w:rPr>
        <w:t>•</w:t>
      </w:r>
      <w:r>
        <w:rPr>
          <w:b w:val="0"/>
        </w:rPr>
        <w:t xml:space="preserve">la </w:t>
      </w:r>
      <w:r>
        <w:t>conclusione,</w:t>
      </w:r>
    </w:p>
    <w:p w:rsidR="00F8547E" w:rsidRDefault="00640112">
      <w:pPr>
        <w:pStyle w:val="Titolo2"/>
      </w:pPr>
      <w:r>
        <w:rPr>
          <w:rFonts w:ascii="Quattrocento Sans" w:eastAsia="Quattrocento Sans" w:hAnsi="Quattrocento Sans" w:cs="Quattrocento Sans"/>
          <w:b w:val="0"/>
        </w:rPr>
        <w:t>•</w:t>
      </w:r>
      <w:r>
        <w:rPr>
          <w:b w:val="0"/>
        </w:rPr>
        <w:t xml:space="preserve">la </w:t>
      </w:r>
      <w:r>
        <w:t>bibliografia</w:t>
      </w:r>
      <w:r>
        <w:rPr>
          <w:b w:val="0"/>
        </w:rPr>
        <w:t xml:space="preserve">, </w:t>
      </w:r>
    </w:p>
    <w:p w:rsidR="00F8547E" w:rsidRDefault="00640112">
      <w:r>
        <w:rPr>
          <w:rFonts w:ascii="Quattrocento Sans" w:eastAsia="Quattrocento Sans" w:hAnsi="Quattrocento Sans" w:cs="Quattrocento Sans"/>
        </w:rPr>
        <w:t>•</w:t>
      </w:r>
      <w:r>
        <w:t>l’</w:t>
      </w:r>
      <w:r>
        <w:rPr>
          <w:b/>
        </w:rPr>
        <w:t>indice generale</w:t>
      </w:r>
      <w:r>
        <w:t xml:space="preserve"> (per i lavori di una certa consistenza come le tesi è consigliabile aggiungere altri indici come quello dei nomi o degli autori, delle citazioni bibliche, ecc.). L’indice generale deve essere collocatoalla fine del lavoro.  </w:t>
      </w:r>
    </w:p>
    <w:p w:rsidR="00F8547E" w:rsidRDefault="00F8547E">
      <w:pPr>
        <w:spacing w:after="0" w:line="259" w:lineRule="auto"/>
        <w:jc w:val="left"/>
      </w:pPr>
    </w:p>
    <w:p w:rsidR="00F8547E" w:rsidRDefault="00640112">
      <w:pPr>
        <w:pStyle w:val="Titolo2"/>
      </w:pPr>
      <w:r>
        <w:t xml:space="preserve">3. Sigle e abbreviazioni </w:t>
      </w:r>
    </w:p>
    <w:p w:rsidR="00F8547E" w:rsidRDefault="00640112">
      <w:r>
        <w:t xml:space="preserve">Conviene usare quelle generalmente ammesse, assumendole da un manuale o da un’enciclopedia teologica. Non è esclusa la possibilità di ricorrere ad altre abbreviazioni o sigle, purché risultino sempre comprensibili e siano indicate nell’apposito prospetto all’inizio del lavoro. </w:t>
      </w:r>
    </w:p>
    <w:p w:rsidR="00F8547E" w:rsidRDefault="00640112">
      <w:r>
        <w:t xml:space="preserve">Le abbreviazioni bibliche siano riportate secondo l’uso della Bibbia di Gerusalemme (in corsivo e senza punto): </w:t>
      </w:r>
      <w:r>
        <w:rPr>
          <w:i/>
        </w:rPr>
        <w:t>Gen, Es, 1Sam, Qo, Sir, Mt, At, Rm, 1Cor, 2Tm</w:t>
      </w:r>
      <w:r>
        <w:t>…</w:t>
      </w:r>
    </w:p>
    <w:p w:rsidR="00F8547E" w:rsidRDefault="00F8547E">
      <w:pPr>
        <w:spacing w:after="0" w:line="259" w:lineRule="auto"/>
        <w:jc w:val="left"/>
      </w:pPr>
    </w:p>
    <w:p w:rsidR="00F8547E" w:rsidRDefault="00640112">
      <w:pPr>
        <w:numPr>
          <w:ilvl w:val="0"/>
          <w:numId w:val="5"/>
        </w:numPr>
        <w:ind w:left="10"/>
      </w:pPr>
      <w:r>
        <w:rPr>
          <w:b/>
        </w:rPr>
        <w:t>L’indice generale</w:t>
      </w:r>
      <w:r>
        <w:t xml:space="preserve"> serve ad indicare titoli dei capitoli e dei paragrafi col riferimento alle pagine corrispondenti. </w:t>
      </w:r>
    </w:p>
    <w:p w:rsidR="00F8547E" w:rsidRDefault="00F8547E">
      <w:pPr>
        <w:spacing w:after="0" w:line="259" w:lineRule="auto"/>
        <w:jc w:val="left"/>
      </w:pPr>
    </w:p>
    <w:p w:rsidR="00F8547E" w:rsidRDefault="00640112">
      <w:pPr>
        <w:numPr>
          <w:ilvl w:val="0"/>
          <w:numId w:val="5"/>
        </w:numPr>
        <w:spacing w:after="27"/>
        <w:ind w:left="10"/>
      </w:pPr>
      <w:r>
        <w:t xml:space="preserve">La </w:t>
      </w:r>
      <w:r>
        <w:rPr>
          <w:b/>
        </w:rPr>
        <w:t>presentazione</w:t>
      </w:r>
      <w:r>
        <w:t xml:space="preserve"> o </w:t>
      </w:r>
      <w:r>
        <w:rPr>
          <w:b/>
        </w:rPr>
        <w:t>introduzione</w:t>
      </w:r>
      <w:r>
        <w:t xml:space="preserve"> serve a chiarire e giustificare: </w:t>
      </w:r>
    </w:p>
    <w:p w:rsidR="00F8547E" w:rsidRDefault="00640112">
      <w:pPr>
        <w:numPr>
          <w:ilvl w:val="1"/>
          <w:numId w:val="5"/>
        </w:numPr>
        <w:spacing w:after="27"/>
        <w:ind w:left="10"/>
      </w:pPr>
      <w:r>
        <w:t xml:space="preserve">la scelta dell’argomento; </w:t>
      </w:r>
    </w:p>
    <w:p w:rsidR="00F8547E" w:rsidRDefault="00640112">
      <w:pPr>
        <w:numPr>
          <w:ilvl w:val="1"/>
          <w:numId w:val="5"/>
        </w:numPr>
        <w:spacing w:after="27"/>
        <w:ind w:left="10"/>
      </w:pPr>
      <w:r>
        <w:t xml:space="preserve">il metodo adottato; </w:t>
      </w:r>
    </w:p>
    <w:p w:rsidR="00F8547E" w:rsidRDefault="00640112">
      <w:pPr>
        <w:numPr>
          <w:ilvl w:val="1"/>
          <w:numId w:val="6"/>
        </w:numPr>
        <w:spacing w:after="27"/>
        <w:ind w:left="10"/>
      </w:pPr>
      <w:r>
        <w:t xml:space="preserve">la scaletta dei contenuti o argomenti particolari; </w:t>
      </w:r>
    </w:p>
    <w:p w:rsidR="00F8547E" w:rsidRDefault="00640112">
      <w:pPr>
        <w:numPr>
          <w:ilvl w:val="1"/>
          <w:numId w:val="6"/>
        </w:numPr>
        <w:spacing w:after="27"/>
        <w:ind w:left="10"/>
      </w:pPr>
      <w:r>
        <w:t xml:space="preserve">lo </w:t>
      </w:r>
      <w:r>
        <w:rPr>
          <w:i/>
        </w:rPr>
        <w:t xml:space="preserve">status quaestionis, </w:t>
      </w:r>
      <w:r>
        <w:t xml:space="preserve">qualora non fosse delineato in un apposito capitolo; </w:t>
      </w:r>
    </w:p>
    <w:p w:rsidR="00F8547E" w:rsidRDefault="00640112">
      <w:pPr>
        <w:numPr>
          <w:ilvl w:val="1"/>
          <w:numId w:val="6"/>
        </w:numPr>
        <w:spacing w:after="27"/>
        <w:ind w:left="10"/>
      </w:pPr>
      <w:r>
        <w:t xml:space="preserve">la specificità della propria ricerca. </w:t>
      </w:r>
    </w:p>
    <w:p w:rsidR="00F8547E" w:rsidRDefault="00F8547E">
      <w:pPr>
        <w:spacing w:after="0" w:line="259" w:lineRule="auto"/>
        <w:jc w:val="left"/>
      </w:pPr>
    </w:p>
    <w:p w:rsidR="00F8547E" w:rsidRDefault="00640112">
      <w:r>
        <w:t xml:space="preserve">Nella </w:t>
      </w:r>
      <w:r>
        <w:rPr>
          <w:b/>
        </w:rPr>
        <w:t>conclusione</w:t>
      </w:r>
      <w:r>
        <w:t xml:space="preserve"> si esporranno i risultati raggiunti, indicando eventualmente ulteriori prospettive per successive ricerche. </w:t>
      </w:r>
    </w:p>
    <w:p w:rsidR="00F8547E" w:rsidRDefault="00F8547E">
      <w:pPr>
        <w:spacing w:after="0" w:line="259" w:lineRule="auto"/>
        <w:jc w:val="left"/>
      </w:pPr>
    </w:p>
    <w:p w:rsidR="00F8547E" w:rsidRDefault="00640112">
      <w:pPr>
        <w:pStyle w:val="Titolo2"/>
      </w:pPr>
      <w:r>
        <w:lastRenderedPageBreak/>
        <w:t xml:space="preserve">6. Bibliografia </w:t>
      </w:r>
    </w:p>
    <w:p w:rsidR="00F8547E" w:rsidRDefault="00640112">
      <w:r>
        <w:t xml:space="preserve">La bibliografia presenta in maniera ordinata, in ordine alfabetico, i testi utilizzati nella compilazione del lavoro.  Occorre redigere la lista degli autori elencandoli per Cognome seguito dall’iniziale del Nome (tutto maiuscoletto). </w:t>
      </w:r>
    </w:p>
    <w:p w:rsidR="00F8547E" w:rsidRDefault="00640112">
      <w:pPr>
        <w:spacing w:after="27"/>
      </w:pPr>
      <w:r>
        <w:t xml:space="preserve">È molto opportuno disporre detto materiale in due sezioni: </w:t>
      </w:r>
    </w:p>
    <w:p w:rsidR="00F8547E" w:rsidRDefault="00640112">
      <w:pPr>
        <w:numPr>
          <w:ilvl w:val="0"/>
          <w:numId w:val="7"/>
        </w:numPr>
        <w:spacing w:after="27"/>
        <w:ind w:left="10"/>
      </w:pPr>
      <w:r>
        <w:rPr>
          <w:b/>
        </w:rPr>
        <w:t>Fonti</w:t>
      </w:r>
      <w:r>
        <w:t xml:space="preserve"> (= testi fondamentali imprescindibili)  </w:t>
      </w:r>
    </w:p>
    <w:p w:rsidR="00F8547E" w:rsidRDefault="00640112">
      <w:pPr>
        <w:numPr>
          <w:ilvl w:val="0"/>
          <w:numId w:val="7"/>
        </w:numPr>
        <w:spacing w:after="27"/>
        <w:ind w:left="10"/>
      </w:pPr>
      <w:r>
        <w:rPr>
          <w:b/>
        </w:rPr>
        <w:t>Studi</w:t>
      </w:r>
      <w:r>
        <w:t xml:space="preserve"> (= supporti e interpretazioni).  </w:t>
      </w:r>
    </w:p>
    <w:p w:rsidR="00F8547E" w:rsidRDefault="00640112">
      <w:r>
        <w:t xml:space="preserve">Si consiglia di elencare i lavori di uno stesso autore in ordine cronologico.  </w:t>
      </w:r>
    </w:p>
    <w:p w:rsidR="00F8547E" w:rsidRDefault="00640112">
      <w:r>
        <w:t xml:space="preserve">La prima riga di ciascun titolo è al vivo, ma per le righe successive si usa un rientro di 20 mm. </w:t>
      </w:r>
    </w:p>
    <w:p w:rsidR="00F8547E" w:rsidRDefault="00F8547E"/>
    <w:p w:rsidR="00F8547E" w:rsidRDefault="00F8547E">
      <w:pPr>
        <w:spacing w:after="0" w:line="259" w:lineRule="auto"/>
        <w:jc w:val="left"/>
      </w:pPr>
    </w:p>
    <w:p w:rsidR="00F8547E" w:rsidRDefault="00640112">
      <w:pPr>
        <w:pStyle w:val="Titolo2"/>
      </w:pPr>
      <w:r>
        <w:t xml:space="preserve">7. Testo </w:t>
      </w:r>
    </w:p>
    <w:p w:rsidR="00F8547E" w:rsidRDefault="00640112">
      <w:r>
        <w:t xml:space="preserve">Il testo va redatto con margini di circa </w:t>
      </w:r>
      <w:r>
        <w:rPr>
          <w:b/>
        </w:rPr>
        <w:t>cm. 4 a sinistra, cm. 3 a destra, cm. 3 in alto, cm. 4</w:t>
      </w:r>
      <w:r>
        <w:t xml:space="preserve"> in basso. Il carattere del testo è di dimensione </w:t>
      </w:r>
      <w:r>
        <w:rPr>
          <w:b/>
        </w:rPr>
        <w:t>13 punti, font Times New Roman</w:t>
      </w:r>
      <w:r>
        <w:t xml:space="preserve">. </w:t>
      </w:r>
    </w:p>
    <w:p w:rsidR="00F8547E" w:rsidRDefault="00640112">
      <w:r>
        <w:t xml:space="preserve">Le righe vanno distanziate da spazi </w:t>
      </w:r>
      <w:r>
        <w:rPr>
          <w:b/>
        </w:rPr>
        <w:t>interlineari 1,5</w:t>
      </w:r>
      <w:r>
        <w:t>.</w:t>
      </w:r>
    </w:p>
    <w:p w:rsidR="00F8547E" w:rsidRDefault="00640112">
      <w:pPr>
        <w:tabs>
          <w:tab w:val="left" w:pos="426"/>
        </w:tabs>
      </w:pPr>
      <w:r>
        <w:t xml:space="preserve">Apporre un rientro di 0,75 alla prima riga di ogni capoverso del testo (esclusi i titoli) e delle note. </w:t>
      </w:r>
    </w:p>
    <w:p w:rsidR="00F8547E" w:rsidRDefault="00640112">
      <w:r>
        <w:t xml:space="preserve">Le citazioni interne al testo, se di una certa consistenza (più di 5 righe), si riportano a interlinea 1 con rientro di 0,5 e con carattere di dimensioni 12. </w:t>
      </w:r>
    </w:p>
    <w:p w:rsidR="00F8547E" w:rsidRDefault="00640112">
      <w:r>
        <w:t xml:space="preserve">Le parole in altra lingua vanno in corsivo. </w:t>
      </w:r>
    </w:p>
    <w:p w:rsidR="00F8547E" w:rsidRDefault="00F8547E">
      <w:pPr>
        <w:spacing w:after="0" w:line="259" w:lineRule="auto"/>
        <w:jc w:val="left"/>
      </w:pPr>
    </w:p>
    <w:p w:rsidR="00F8547E" w:rsidRDefault="00640112">
      <w:pPr>
        <w:pStyle w:val="Titolo2"/>
      </w:pPr>
      <w:r>
        <w:t xml:space="preserve">8. Ripartizione </w:t>
      </w:r>
    </w:p>
    <w:p w:rsidR="00F8547E" w:rsidRDefault="00640112">
      <w:r>
        <w:t xml:space="preserve"> I capitoli (indicati con i numeri romani), si suddividono inparagrafi e sottoparagrafi e con numerazione continua per capitolo (che si indicano con i numeri arabi). </w:t>
      </w:r>
    </w:p>
    <w:p w:rsidR="00F8547E" w:rsidRDefault="00F8547E"/>
    <w:p w:rsidR="00F8547E" w:rsidRDefault="00640112">
      <w:pPr>
        <w:numPr>
          <w:ilvl w:val="0"/>
          <w:numId w:val="4"/>
        </w:numPr>
        <w:pBdr>
          <w:top w:val="nil"/>
          <w:left w:val="nil"/>
          <w:bottom w:val="nil"/>
          <w:right w:val="nil"/>
          <w:between w:val="nil"/>
        </w:pBdr>
        <w:ind w:left="284" w:hanging="284"/>
        <w:rPr>
          <w:b/>
          <w:color w:val="000000"/>
        </w:rPr>
      </w:pPr>
      <w:r>
        <w:rPr>
          <w:b/>
          <w:color w:val="000000"/>
        </w:rPr>
        <w:t>Titoli</w:t>
      </w:r>
    </w:p>
    <w:p w:rsidR="00F8547E" w:rsidRDefault="00F8547E">
      <w:pPr>
        <w:rPr>
          <w:b/>
          <w:color w:val="000000"/>
        </w:rPr>
      </w:pPr>
      <w:bookmarkStart w:id="0" w:name="_gjdgxs" w:colFirst="0" w:colLast="0"/>
      <w:bookmarkEnd w:id="0"/>
    </w:p>
    <w:p w:rsidR="00F8547E" w:rsidRDefault="00640112">
      <w:pPr>
        <w:jc w:val="center"/>
        <w:rPr>
          <w:color w:val="000000"/>
        </w:rPr>
      </w:pPr>
      <w:r>
        <w:rPr>
          <w:color w:val="000000"/>
        </w:rPr>
        <w:t xml:space="preserve">PREFAZIONE, INTRODUZIONE, CONCLUSIONE, </w:t>
      </w:r>
    </w:p>
    <w:p w:rsidR="00F8547E" w:rsidRDefault="00640112">
      <w:pPr>
        <w:jc w:val="center"/>
        <w:rPr>
          <w:color w:val="000000"/>
        </w:rPr>
      </w:pPr>
      <w:r>
        <w:rPr>
          <w:color w:val="000000"/>
        </w:rPr>
        <w:t>SIGLE E ABBREVIAZIONI, BIBLIOGRAFIA, INDICI:</w:t>
      </w:r>
    </w:p>
    <w:p w:rsidR="00F8547E" w:rsidRDefault="00640112">
      <w:pPr>
        <w:jc w:val="center"/>
        <w:rPr>
          <w:b/>
          <w:color w:val="000000"/>
        </w:rPr>
      </w:pPr>
      <w:r>
        <w:rPr>
          <w:b/>
          <w:color w:val="000000"/>
        </w:rPr>
        <w:t>maiuscolo normale, corpo 18pt, centrato.</w:t>
      </w:r>
    </w:p>
    <w:p w:rsidR="00F8547E" w:rsidRDefault="00F8547E">
      <w:pPr>
        <w:jc w:val="center"/>
        <w:rPr>
          <w:b/>
          <w:color w:val="000000"/>
        </w:rPr>
      </w:pPr>
    </w:p>
    <w:p w:rsidR="00F8547E" w:rsidRDefault="00640112">
      <w:pPr>
        <w:jc w:val="center"/>
        <w:rPr>
          <w:color w:val="000000"/>
        </w:rPr>
      </w:pPr>
      <w:r>
        <w:rPr>
          <w:color w:val="000000"/>
        </w:rPr>
        <w:t>CAPITOLI I – CAPITOLO II – etc.</w:t>
      </w:r>
    </w:p>
    <w:p w:rsidR="00F8547E" w:rsidRDefault="00640112">
      <w:pPr>
        <w:ind w:left="0"/>
        <w:jc w:val="center"/>
        <w:rPr>
          <w:color w:val="000000"/>
        </w:rPr>
      </w:pPr>
      <w:r>
        <w:rPr>
          <w:color w:val="000000"/>
        </w:rPr>
        <w:t>(maiuscolo normale 16, centrato)</w:t>
      </w:r>
    </w:p>
    <w:p w:rsidR="00F8547E" w:rsidRDefault="00F8547E">
      <w:pPr>
        <w:ind w:left="0"/>
        <w:jc w:val="center"/>
        <w:rPr>
          <w:color w:val="000000"/>
        </w:rPr>
      </w:pPr>
    </w:p>
    <w:p w:rsidR="00F8547E" w:rsidRDefault="00640112">
      <w:pPr>
        <w:ind w:left="0"/>
        <w:jc w:val="center"/>
        <w:rPr>
          <w:b/>
          <w:color w:val="000000"/>
        </w:rPr>
      </w:pPr>
      <w:r>
        <w:rPr>
          <w:b/>
          <w:color w:val="000000"/>
        </w:rPr>
        <w:t>Titolo del capitolo</w:t>
      </w:r>
    </w:p>
    <w:p w:rsidR="00F8547E" w:rsidRDefault="00640112">
      <w:pPr>
        <w:ind w:left="0"/>
        <w:jc w:val="center"/>
        <w:rPr>
          <w:color w:val="000000"/>
        </w:rPr>
      </w:pPr>
      <w:r>
        <w:rPr>
          <w:color w:val="000000"/>
        </w:rPr>
        <w:t xml:space="preserve">(minuscolo grassetto 16, centrato - </w:t>
      </w:r>
      <w:r>
        <w:t>cui seguono almeno 4 spazi in corpo 13</w:t>
      </w:r>
      <w:r>
        <w:rPr>
          <w:color w:val="000000"/>
        </w:rPr>
        <w:t>)</w:t>
      </w:r>
    </w:p>
    <w:p w:rsidR="00F8547E" w:rsidRDefault="00F8547E">
      <w:pPr>
        <w:ind w:left="0"/>
        <w:jc w:val="center"/>
        <w:rPr>
          <w:color w:val="000000"/>
        </w:rPr>
      </w:pPr>
    </w:p>
    <w:p w:rsidR="00F8547E" w:rsidRDefault="00640112">
      <w:pPr>
        <w:ind w:left="0"/>
        <w:rPr>
          <w:b/>
          <w:color w:val="000000"/>
        </w:rPr>
      </w:pPr>
      <w:r>
        <w:rPr>
          <w:b/>
          <w:color w:val="000000"/>
        </w:rPr>
        <w:t>1. Titolo del primo paragrafo:</w:t>
      </w:r>
    </w:p>
    <w:p w:rsidR="00F8547E" w:rsidRDefault="00640112">
      <w:pPr>
        <w:ind w:left="284" w:firstLine="283"/>
        <w:rPr>
          <w:b/>
          <w:color w:val="000000"/>
        </w:rPr>
      </w:pPr>
      <w:r>
        <w:rPr>
          <w:b/>
          <w:color w:val="000000"/>
        </w:rPr>
        <w:t>(minuscolo grassetto 14);</w:t>
      </w:r>
    </w:p>
    <w:p w:rsidR="00F8547E" w:rsidRDefault="00F8547E">
      <w:pPr>
        <w:ind w:left="284" w:firstLine="283"/>
        <w:rPr>
          <w:b/>
          <w:color w:val="000000"/>
        </w:rPr>
      </w:pPr>
    </w:p>
    <w:p w:rsidR="00F8547E" w:rsidRDefault="00640112">
      <w:pPr>
        <w:ind w:left="0"/>
        <w:rPr>
          <w:i/>
          <w:color w:val="000000"/>
        </w:rPr>
      </w:pPr>
      <w:r>
        <w:rPr>
          <w:i/>
          <w:color w:val="000000"/>
        </w:rPr>
        <w:t>1.1. Titolo del primo sottoparagrafo:</w:t>
      </w:r>
    </w:p>
    <w:p w:rsidR="00F8547E" w:rsidRDefault="00640112">
      <w:pPr>
        <w:ind w:left="0" w:firstLine="567"/>
        <w:rPr>
          <w:i/>
          <w:color w:val="000000"/>
        </w:rPr>
      </w:pPr>
      <w:r>
        <w:rPr>
          <w:i/>
          <w:color w:val="000000"/>
        </w:rPr>
        <w:t>minuscolo corsivo 14;</w:t>
      </w:r>
    </w:p>
    <w:p w:rsidR="00F8547E" w:rsidRDefault="00F8547E">
      <w:pPr>
        <w:ind w:left="0" w:firstLine="567"/>
        <w:rPr>
          <w:b/>
          <w:color w:val="000000"/>
        </w:rPr>
      </w:pPr>
    </w:p>
    <w:p w:rsidR="00F8547E" w:rsidRDefault="00640112">
      <w:pPr>
        <w:ind w:left="0" w:firstLine="567"/>
        <w:rPr>
          <w:color w:val="000000"/>
        </w:rPr>
      </w:pPr>
      <w:r>
        <w:rPr>
          <w:color w:val="000000"/>
        </w:rPr>
        <w:t xml:space="preserve">1.1.1. titolo di eventuale ulteriore divisione </w:t>
      </w:r>
    </w:p>
    <w:p w:rsidR="00F8547E" w:rsidRDefault="00640112">
      <w:pPr>
        <w:ind w:left="1275" w:firstLine="140"/>
        <w:rPr>
          <w:color w:val="000000"/>
        </w:rPr>
      </w:pPr>
      <w:r>
        <w:rPr>
          <w:color w:val="000000"/>
        </w:rPr>
        <w:t>minuscolo normale 14</w:t>
      </w:r>
    </w:p>
    <w:p w:rsidR="00F8547E" w:rsidRDefault="00F8547E">
      <w:pPr>
        <w:ind w:left="284" w:firstLine="425"/>
        <w:rPr>
          <w:color w:val="000000"/>
        </w:rPr>
      </w:pPr>
    </w:p>
    <w:p w:rsidR="00F8547E" w:rsidRDefault="00F8547E"/>
    <w:p w:rsidR="00F8547E" w:rsidRDefault="00640112">
      <w:pPr>
        <w:pBdr>
          <w:top w:val="nil"/>
          <w:left w:val="nil"/>
          <w:bottom w:val="nil"/>
          <w:right w:val="nil"/>
          <w:between w:val="nil"/>
        </w:pBdr>
        <w:spacing w:after="0" w:line="240" w:lineRule="auto"/>
        <w:ind w:left="0"/>
        <w:rPr>
          <w:b/>
          <w:color w:val="000000"/>
        </w:rPr>
      </w:pPr>
      <w:r>
        <w:rPr>
          <w:b/>
          <w:color w:val="000000"/>
        </w:rPr>
        <w:t xml:space="preserve">9. Virgolette </w:t>
      </w:r>
    </w:p>
    <w:p w:rsidR="00F8547E" w:rsidRDefault="00640112">
      <w:pPr>
        <w:pBdr>
          <w:top w:val="nil"/>
          <w:left w:val="nil"/>
          <w:bottom w:val="nil"/>
          <w:right w:val="nil"/>
          <w:between w:val="nil"/>
        </w:pBdr>
        <w:spacing w:after="0" w:line="240" w:lineRule="auto"/>
        <w:ind w:left="0"/>
        <w:rPr>
          <w:color w:val="000000"/>
        </w:rPr>
      </w:pPr>
      <w:r>
        <w:rPr>
          <w:color w:val="000000"/>
        </w:rPr>
        <w:t xml:space="preserve">– Si usano le virgolette italiane (aperte: « ; chiuse: »); </w:t>
      </w:r>
    </w:p>
    <w:p w:rsidR="00F8547E" w:rsidRDefault="00640112">
      <w:pPr>
        <w:pBdr>
          <w:top w:val="nil"/>
          <w:left w:val="nil"/>
          <w:bottom w:val="nil"/>
          <w:right w:val="nil"/>
          <w:between w:val="nil"/>
        </w:pBdr>
        <w:spacing w:after="0" w:line="240" w:lineRule="auto"/>
        <w:ind w:left="0"/>
        <w:rPr>
          <w:color w:val="000000"/>
        </w:rPr>
      </w:pPr>
      <w:r>
        <w:rPr>
          <w:color w:val="000000"/>
        </w:rPr>
        <w:t xml:space="preserve">– se, all’interno di queste virgolette, appaiono altre virgolette, si usano le virgolette inglesi </w:t>
      </w:r>
    </w:p>
    <w:p w:rsidR="00F8547E" w:rsidRDefault="00640112">
      <w:pPr>
        <w:pBdr>
          <w:top w:val="nil"/>
          <w:left w:val="nil"/>
          <w:bottom w:val="nil"/>
          <w:right w:val="nil"/>
          <w:between w:val="nil"/>
        </w:pBdr>
        <w:spacing w:after="0" w:line="240" w:lineRule="auto"/>
        <w:ind w:left="284"/>
        <w:rPr>
          <w:color w:val="000000"/>
        </w:rPr>
      </w:pPr>
      <w:r>
        <w:rPr>
          <w:color w:val="000000"/>
        </w:rPr>
        <w:t xml:space="preserve">(aperte: “ ; chiuse: “); </w:t>
      </w:r>
    </w:p>
    <w:p w:rsidR="00F8547E" w:rsidRDefault="00640112">
      <w:pPr>
        <w:pBdr>
          <w:top w:val="nil"/>
          <w:left w:val="nil"/>
          <w:bottom w:val="nil"/>
          <w:right w:val="nil"/>
          <w:between w:val="nil"/>
        </w:pBdr>
        <w:spacing w:after="0" w:line="240" w:lineRule="auto"/>
        <w:ind w:left="284" w:hanging="284"/>
        <w:rPr>
          <w:color w:val="000000"/>
        </w:rPr>
      </w:pPr>
      <w:r>
        <w:rPr>
          <w:color w:val="000000"/>
        </w:rPr>
        <w:lastRenderedPageBreak/>
        <w:t xml:space="preserve">– se, all’interno di queste ultime, si dovessero usare ancora altre virgolette, si usano quelle inglesi semplici (aperte: ‘ ; chiuse: ’). </w:t>
      </w:r>
    </w:p>
    <w:p w:rsidR="00F8547E" w:rsidRDefault="00F8547E"/>
    <w:p w:rsidR="00F8547E" w:rsidRDefault="00F8547E">
      <w:pPr>
        <w:spacing w:after="0" w:line="259" w:lineRule="auto"/>
        <w:jc w:val="left"/>
      </w:pPr>
    </w:p>
    <w:p w:rsidR="00F8547E" w:rsidRDefault="00640112">
      <w:pPr>
        <w:pStyle w:val="Titolo2"/>
      </w:pPr>
      <w:r>
        <w:t xml:space="preserve">10. Note </w:t>
      </w:r>
    </w:p>
    <w:p w:rsidR="00F8547E" w:rsidRDefault="00640112">
      <w:r>
        <w:t xml:space="preserve">Le note vanno riportate a piè di pagina (separate dal testo da una breve riga). </w:t>
      </w:r>
    </w:p>
    <w:p w:rsidR="00F8547E" w:rsidRDefault="00640112">
      <w:r>
        <w:t xml:space="preserve">Si adotti sempre la numerazione progressiva e unica. </w:t>
      </w:r>
    </w:p>
    <w:p w:rsidR="00F8547E" w:rsidRDefault="00640112">
      <w:r>
        <w:t xml:space="preserve">Il carattere del testo nelle note è 12 punti, così come il numero di riferimento in apice.  </w:t>
      </w:r>
    </w:p>
    <w:p w:rsidR="00F8547E" w:rsidRDefault="00640112">
      <w:r>
        <w:t xml:space="preserve">L’esponente di nota va collocato subito prima della punteggiatura (virgola, punto, due punti, punto e virgola, etc.), senza spazi rispetto alla parola che lo precede; subito dopo la parentesi o le virgolette senza spazio. </w:t>
      </w:r>
    </w:p>
    <w:p w:rsidR="00F8547E" w:rsidRDefault="00F8547E">
      <w:pPr>
        <w:spacing w:after="0" w:line="259" w:lineRule="auto"/>
        <w:jc w:val="left"/>
      </w:pPr>
    </w:p>
    <w:p w:rsidR="00F8547E" w:rsidRDefault="00640112">
      <w:pPr>
        <w:pStyle w:val="Titolo2"/>
      </w:pPr>
      <w:r>
        <w:t xml:space="preserve">11. Citazioni e riferimenti bibliografici </w:t>
      </w:r>
    </w:p>
    <w:p w:rsidR="00F8547E" w:rsidRDefault="00640112">
      <w:r>
        <w:t xml:space="preserve">Per le citazioni e i riferimenti bibliografici ci si attenga alle seguenti regole di carattere generale, mentre casi concreti non esplicitamente contemplati qui di seguito si possono risolvere con il ricorso all’analogia. </w:t>
      </w:r>
    </w:p>
    <w:p w:rsidR="00F8547E" w:rsidRDefault="00F8547E"/>
    <w:p w:rsidR="00F8547E" w:rsidRDefault="00640112">
      <w:r>
        <w:t xml:space="preserve">11.1. Quando si riferisce il pensiero altrui senza direttamente citarlo tra virgolette, il riferimento bibliografico in nota va fatto precedere dalla sigla Cf a inizio rigo, cf nel corso della nota, senza punto seguente. </w:t>
      </w:r>
    </w:p>
    <w:p w:rsidR="00F8547E" w:rsidRDefault="00F8547E">
      <w:pPr>
        <w:spacing w:after="81" w:line="259" w:lineRule="auto"/>
        <w:jc w:val="left"/>
      </w:pPr>
    </w:p>
    <w:p w:rsidR="00F8547E" w:rsidRDefault="00640112">
      <w:r>
        <w:t xml:space="preserve">11.2. Le citazioni testuali (tra virgolette basse, «…») possono inserirsi nel testo o nelle note, mentre il riferimento bibliografico va sempre inserito nelle note, eccetto che in alcuni casi: citazioni della Scrittura, del Codice di Diritto canonico, di documenti ecclesiastici molto noti, come quelli del Concilio Vaticano II e simili. In questi casi, se non si vuol riportare il riferimento in nota, lo si può aggiungere in parentesi dopo le virgolette, adoperando la sigla e il numero di riferimento (per i documenti suddetti), il capitolo e i versetti (per la Bibbia). </w:t>
      </w:r>
    </w:p>
    <w:p w:rsidR="00F8547E" w:rsidRDefault="00640112">
      <w:r>
        <w:t xml:space="preserve">Le sigle della Bibbia seguono il siglario CEI e vanno in corsivo, altre sigle (Vaticano II, Catechismo della Chiesa cattolica, Codice di diritto canonico ecc.) vanno in tondo. </w:t>
      </w:r>
    </w:p>
    <w:p w:rsidR="00F8547E" w:rsidRDefault="00F8547E">
      <w:pPr>
        <w:spacing w:after="81" w:line="259" w:lineRule="auto"/>
        <w:jc w:val="left"/>
      </w:pPr>
    </w:p>
    <w:p w:rsidR="00F8547E" w:rsidRDefault="00640112">
      <w:r>
        <w:t xml:space="preserve">11.3. Quando si interviene in un testo citato letteralmente tra virgolette bisogna usare le parentesi quadre prima e dopo il proprio intervento. Quando si salta qualche periodo del testo citato si usa all’interno della citazione il simbolo [...]. </w:t>
      </w:r>
    </w:p>
    <w:p w:rsidR="00F8547E" w:rsidRDefault="00F8547E">
      <w:pPr>
        <w:spacing w:after="81" w:line="259" w:lineRule="auto"/>
        <w:jc w:val="left"/>
      </w:pPr>
    </w:p>
    <w:p w:rsidR="00F8547E" w:rsidRDefault="00640112">
      <w:r>
        <w:t xml:space="preserve">11.4. Le citazioni nelle noteriguardano principalmente le indicazioni bibliografiche relative ai brani riportati o cui si fa riferimento nel testo. La prima volta che capita di dover riportare un’indicazione, essa va fatta sempre nella sua forma più completa, con tutti gli elementi bibliografici essenziali e secondo le rispettive modalità (libro, rivista, miscellanea, dizionario, enciclopedia, ecc.). </w:t>
      </w:r>
    </w:p>
    <w:p w:rsidR="00F8547E" w:rsidRDefault="00F8547E"/>
    <w:p w:rsidR="00F8547E" w:rsidRDefault="00640112">
      <w:pPr>
        <w:ind w:left="567"/>
      </w:pPr>
      <w:r>
        <w:t xml:space="preserve">11.4.1. Nella stesura delle citazioni occorre tener presenti gli elementi bibliografici fondamentali, che sono: </w:t>
      </w:r>
    </w:p>
    <w:p w:rsidR="00F8547E" w:rsidRDefault="00640112">
      <w:pPr>
        <w:numPr>
          <w:ilvl w:val="0"/>
          <w:numId w:val="1"/>
        </w:numPr>
        <w:spacing w:after="27"/>
        <w:ind w:left="567" w:firstLine="0"/>
      </w:pPr>
      <w:r>
        <w:t xml:space="preserve">nome (prima lettera puntata) dell’autore in maiuscoletto; </w:t>
      </w:r>
    </w:p>
    <w:p w:rsidR="00F8547E" w:rsidRDefault="00640112">
      <w:pPr>
        <w:numPr>
          <w:ilvl w:val="0"/>
          <w:numId w:val="1"/>
        </w:numPr>
        <w:spacing w:after="27"/>
        <w:ind w:left="567" w:firstLine="0"/>
      </w:pPr>
      <w:r>
        <w:t xml:space="preserve">cognome dell’autore in maiuscoletto; </w:t>
      </w:r>
    </w:p>
    <w:p w:rsidR="00F8547E" w:rsidRDefault="00640112">
      <w:pPr>
        <w:numPr>
          <w:ilvl w:val="0"/>
          <w:numId w:val="1"/>
        </w:numPr>
        <w:spacing w:after="27"/>
        <w:ind w:left="567" w:firstLine="0"/>
      </w:pPr>
      <w:r>
        <w:t xml:space="preserve">titolo dell’opera ed eventuale sottotitolo incorsivo; </w:t>
      </w:r>
    </w:p>
    <w:p w:rsidR="00F8547E" w:rsidRDefault="00640112">
      <w:pPr>
        <w:numPr>
          <w:ilvl w:val="0"/>
          <w:numId w:val="1"/>
        </w:numPr>
        <w:spacing w:after="27"/>
        <w:ind w:left="567" w:firstLine="0"/>
      </w:pPr>
      <w:r>
        <w:t xml:space="preserve">nome e cognome del curatore o dei curatori dell’opera; </w:t>
      </w:r>
    </w:p>
    <w:p w:rsidR="00F8547E" w:rsidRDefault="00640112">
      <w:pPr>
        <w:numPr>
          <w:ilvl w:val="0"/>
          <w:numId w:val="1"/>
        </w:numPr>
        <w:spacing w:after="27"/>
        <w:ind w:left="567" w:firstLine="0"/>
      </w:pPr>
      <w:r>
        <w:t xml:space="preserve">casa editrice, luogo e data di edizione; </w:t>
      </w:r>
    </w:p>
    <w:p w:rsidR="00F8547E" w:rsidRDefault="00640112">
      <w:pPr>
        <w:numPr>
          <w:ilvl w:val="0"/>
          <w:numId w:val="1"/>
        </w:numPr>
        <w:spacing w:after="27"/>
        <w:ind w:left="567" w:firstLine="0"/>
      </w:pPr>
      <w:r>
        <w:t xml:space="preserve">se si tratta di nuova edizione, dopo l’anno, aggiungere in apice il numero dell’edizione; </w:t>
      </w:r>
    </w:p>
    <w:p w:rsidR="00F8547E" w:rsidRDefault="00640112">
      <w:pPr>
        <w:numPr>
          <w:ilvl w:val="0"/>
          <w:numId w:val="1"/>
        </w:numPr>
        <w:spacing w:after="27"/>
        <w:ind w:left="567" w:firstLine="0"/>
      </w:pPr>
      <w:r>
        <w:t xml:space="preserve">la pagina (o colonna) o le pagine (o colonne) citate (separate da un trattino);  </w:t>
      </w:r>
    </w:p>
    <w:p w:rsidR="00F8547E" w:rsidRDefault="00640112">
      <w:pPr>
        <w:numPr>
          <w:ilvl w:val="0"/>
          <w:numId w:val="1"/>
        </w:numPr>
        <w:ind w:left="567" w:firstLine="0"/>
      </w:pPr>
      <w:r>
        <w:lastRenderedPageBreak/>
        <w:t xml:space="preserve">in opere composte di più volumi non si utilizzi l’indicazione di vol. o v. ma si inserisca solo il numero del volume con numero romano. </w:t>
      </w:r>
    </w:p>
    <w:p w:rsidR="00F8547E" w:rsidRDefault="00F8547E">
      <w:pPr>
        <w:ind w:left="567"/>
      </w:pPr>
    </w:p>
    <w:p w:rsidR="00F8547E" w:rsidRDefault="00640112">
      <w:pPr>
        <w:spacing w:after="124" w:line="259" w:lineRule="auto"/>
        <w:ind w:left="567"/>
        <w:jc w:val="left"/>
      </w:pPr>
      <w:r>
        <w:rPr>
          <w:i/>
        </w:rPr>
        <w:t>Esempi</w:t>
      </w:r>
      <w:r>
        <w:t xml:space="preserve">:  </w:t>
      </w:r>
    </w:p>
    <w:p w:rsidR="00F8547E" w:rsidRDefault="00640112">
      <w:pPr>
        <w:spacing w:line="228" w:lineRule="auto"/>
        <w:ind w:left="567"/>
      </w:pPr>
      <w:r>
        <w:rPr>
          <w:sz w:val="22"/>
          <w:szCs w:val="22"/>
        </w:rPr>
        <w:t>G.</w:t>
      </w:r>
      <w:r w:rsidR="005A3776">
        <w:rPr>
          <w:sz w:val="22"/>
          <w:szCs w:val="22"/>
        </w:rPr>
        <w:t xml:space="preserve"> </w:t>
      </w:r>
      <w:r>
        <w:rPr>
          <w:sz w:val="22"/>
          <w:szCs w:val="22"/>
        </w:rPr>
        <w:t>G</w:t>
      </w:r>
      <w:r>
        <w:rPr>
          <w:sz w:val="18"/>
          <w:szCs w:val="18"/>
        </w:rPr>
        <w:t>UGLIELMI</w:t>
      </w:r>
      <w:r>
        <w:rPr>
          <w:sz w:val="22"/>
          <w:szCs w:val="22"/>
        </w:rPr>
        <w:t xml:space="preserve">, </w:t>
      </w:r>
      <w:r>
        <w:rPr>
          <w:i/>
          <w:sz w:val="22"/>
          <w:szCs w:val="22"/>
        </w:rPr>
        <w:t>L’incontro con il passato. Storiografia e filosofia della storia in Bernard Lonergan</w:t>
      </w:r>
      <w:r>
        <w:rPr>
          <w:sz w:val="22"/>
          <w:szCs w:val="22"/>
        </w:rPr>
        <w:t xml:space="preserve">, Il pozzo di Giacobbe, Trapani 2015. </w:t>
      </w:r>
    </w:p>
    <w:p w:rsidR="00F8547E" w:rsidRDefault="00640112">
      <w:pPr>
        <w:spacing w:line="228" w:lineRule="auto"/>
        <w:ind w:left="567"/>
      </w:pPr>
      <w:r>
        <w:rPr>
          <w:sz w:val="22"/>
          <w:szCs w:val="22"/>
        </w:rPr>
        <w:t>G</w:t>
      </w:r>
      <w:r>
        <w:rPr>
          <w:sz w:val="18"/>
          <w:szCs w:val="18"/>
        </w:rPr>
        <w:t xml:space="preserve">IOVANNI </w:t>
      </w:r>
      <w:r>
        <w:rPr>
          <w:sz w:val="22"/>
          <w:szCs w:val="22"/>
        </w:rPr>
        <w:t>P</w:t>
      </w:r>
      <w:r>
        <w:rPr>
          <w:sz w:val="18"/>
          <w:szCs w:val="18"/>
        </w:rPr>
        <w:t xml:space="preserve">AOLO </w:t>
      </w:r>
      <w:r>
        <w:rPr>
          <w:sz w:val="22"/>
          <w:szCs w:val="22"/>
        </w:rPr>
        <w:t>II,</w:t>
      </w:r>
      <w:r w:rsidR="005A3776">
        <w:rPr>
          <w:sz w:val="22"/>
          <w:szCs w:val="22"/>
        </w:rPr>
        <w:t xml:space="preserve"> </w:t>
      </w:r>
      <w:r>
        <w:rPr>
          <w:i/>
          <w:sz w:val="22"/>
          <w:szCs w:val="22"/>
        </w:rPr>
        <w:t>So che voi ci siete</w:t>
      </w:r>
      <w:r>
        <w:rPr>
          <w:sz w:val="22"/>
          <w:szCs w:val="22"/>
        </w:rPr>
        <w:t xml:space="preserve">. </w:t>
      </w:r>
      <w:r>
        <w:rPr>
          <w:i/>
          <w:sz w:val="22"/>
          <w:szCs w:val="22"/>
        </w:rPr>
        <w:t>Venticinque anni di magistero sull’Azione Cattolica 1978-2003</w:t>
      </w:r>
      <w:r>
        <w:rPr>
          <w:sz w:val="22"/>
          <w:szCs w:val="22"/>
        </w:rPr>
        <w:t>, a cura di S. Tanzarella,</w:t>
      </w:r>
      <w:r w:rsidR="005A3776">
        <w:rPr>
          <w:sz w:val="22"/>
          <w:szCs w:val="22"/>
        </w:rPr>
        <w:t xml:space="preserve"> </w:t>
      </w:r>
      <w:r>
        <w:rPr>
          <w:sz w:val="22"/>
          <w:szCs w:val="22"/>
        </w:rPr>
        <w:t xml:space="preserve">Ave, Roma 2003. </w:t>
      </w:r>
    </w:p>
    <w:p w:rsidR="00F8547E" w:rsidRDefault="005A3776" w:rsidP="005A3776">
      <w:pPr>
        <w:spacing w:line="228" w:lineRule="auto"/>
        <w:ind w:left="567"/>
      </w:pPr>
      <w:r>
        <w:rPr>
          <w:sz w:val="22"/>
          <w:szCs w:val="22"/>
        </w:rPr>
        <w:t xml:space="preserve">E. </w:t>
      </w:r>
      <w:r w:rsidR="00640112">
        <w:rPr>
          <w:sz w:val="22"/>
          <w:szCs w:val="22"/>
        </w:rPr>
        <w:t>F</w:t>
      </w:r>
      <w:r w:rsidR="00640112">
        <w:rPr>
          <w:sz w:val="18"/>
          <w:szCs w:val="18"/>
        </w:rPr>
        <w:t>RANCO</w:t>
      </w:r>
      <w:r>
        <w:rPr>
          <w:sz w:val="18"/>
          <w:szCs w:val="18"/>
        </w:rPr>
        <w:t xml:space="preserve"> </w:t>
      </w:r>
      <w:r w:rsidR="00640112">
        <w:rPr>
          <w:sz w:val="22"/>
          <w:szCs w:val="22"/>
        </w:rPr>
        <w:t>–</w:t>
      </w:r>
      <w:r>
        <w:rPr>
          <w:sz w:val="22"/>
          <w:szCs w:val="22"/>
        </w:rPr>
        <w:t xml:space="preserve"> </w:t>
      </w:r>
      <w:r w:rsidR="00640112">
        <w:rPr>
          <w:sz w:val="22"/>
          <w:szCs w:val="22"/>
        </w:rPr>
        <w:t>C.</w:t>
      </w:r>
      <w:r>
        <w:rPr>
          <w:sz w:val="22"/>
          <w:szCs w:val="22"/>
        </w:rPr>
        <w:t xml:space="preserve"> </w:t>
      </w:r>
      <w:r w:rsidR="00640112">
        <w:rPr>
          <w:sz w:val="22"/>
          <w:szCs w:val="22"/>
        </w:rPr>
        <w:t>M</w:t>
      </w:r>
      <w:r w:rsidR="00640112">
        <w:rPr>
          <w:sz w:val="18"/>
          <w:szCs w:val="18"/>
        </w:rPr>
        <w:t xml:space="preserve">ANUNZA </w:t>
      </w:r>
      <w:r w:rsidR="00640112">
        <w:rPr>
          <w:sz w:val="22"/>
          <w:szCs w:val="22"/>
        </w:rPr>
        <w:t>(edd.),</w:t>
      </w:r>
      <w:r>
        <w:rPr>
          <w:sz w:val="22"/>
          <w:szCs w:val="22"/>
        </w:rPr>
        <w:t xml:space="preserve"> </w:t>
      </w:r>
      <w:r w:rsidR="00640112">
        <w:rPr>
          <w:i/>
          <w:sz w:val="22"/>
          <w:szCs w:val="22"/>
        </w:rPr>
        <w:t>Sulle frontiere dell’umano. Interpretazioni esclusive e inclusive</w:t>
      </w:r>
      <w:r w:rsidR="00640112">
        <w:rPr>
          <w:sz w:val="22"/>
          <w:szCs w:val="22"/>
        </w:rPr>
        <w:t xml:space="preserve">, Il pozzo di Giacobbe, Trapani 2015. </w:t>
      </w:r>
    </w:p>
    <w:p w:rsidR="00F8547E" w:rsidRDefault="005A3776" w:rsidP="005A3776">
      <w:pPr>
        <w:spacing w:after="34" w:line="222" w:lineRule="auto"/>
        <w:ind w:left="567"/>
      </w:pPr>
      <w:r>
        <w:rPr>
          <w:sz w:val="22"/>
          <w:szCs w:val="22"/>
        </w:rPr>
        <w:t xml:space="preserve">E. </w:t>
      </w:r>
      <w:r w:rsidR="00640112">
        <w:rPr>
          <w:sz w:val="22"/>
          <w:szCs w:val="22"/>
        </w:rPr>
        <w:t>P</w:t>
      </w:r>
      <w:r w:rsidR="00640112">
        <w:rPr>
          <w:sz w:val="18"/>
          <w:szCs w:val="18"/>
        </w:rPr>
        <w:t>RAT</w:t>
      </w:r>
      <w:r w:rsidR="00640112">
        <w:rPr>
          <w:sz w:val="22"/>
          <w:szCs w:val="22"/>
        </w:rPr>
        <w:t xml:space="preserve">, </w:t>
      </w:r>
      <w:r w:rsidR="00640112">
        <w:rPr>
          <w:i/>
          <w:sz w:val="22"/>
          <w:szCs w:val="22"/>
        </w:rPr>
        <w:t xml:space="preserve">La théologie de saint Paul, </w:t>
      </w:r>
      <w:r w:rsidR="00640112">
        <w:rPr>
          <w:sz w:val="22"/>
          <w:szCs w:val="22"/>
        </w:rPr>
        <w:t>I, Beauchesne, Paris 1927</w:t>
      </w:r>
      <w:r w:rsidR="00640112">
        <w:rPr>
          <w:sz w:val="22"/>
          <w:szCs w:val="22"/>
          <w:vertAlign w:val="superscript"/>
        </w:rPr>
        <w:t>15</w:t>
      </w:r>
      <w:r w:rsidR="00640112">
        <w:rPr>
          <w:sz w:val="22"/>
          <w:szCs w:val="22"/>
        </w:rPr>
        <w:t xml:space="preserve">, 9-12. </w:t>
      </w:r>
    </w:p>
    <w:p w:rsidR="00F8547E" w:rsidRDefault="00F8547E">
      <w:pPr>
        <w:spacing w:after="0" w:line="259" w:lineRule="auto"/>
        <w:ind w:left="567"/>
        <w:jc w:val="left"/>
      </w:pPr>
    </w:p>
    <w:p w:rsidR="00F8547E" w:rsidRDefault="00640112">
      <w:pPr>
        <w:ind w:left="567"/>
      </w:pPr>
      <w:r>
        <w:t>11.4.2. A volte occorre citare dei brani di seconda mano</w:t>
      </w:r>
      <w:r>
        <w:rPr>
          <w:b/>
        </w:rPr>
        <w:t xml:space="preserve">, </w:t>
      </w:r>
      <w:r>
        <w:t xml:space="preserve">ossia citati da unaltro autore. Si raccomanda di limitare al massimo tale eventualità, che è a scapito della scientificità del lavoro stesso. </w:t>
      </w:r>
    </w:p>
    <w:p w:rsidR="00F8547E" w:rsidRDefault="00640112">
      <w:pPr>
        <w:spacing w:after="124" w:line="259" w:lineRule="auto"/>
        <w:ind w:left="567"/>
        <w:jc w:val="left"/>
      </w:pPr>
      <w:r>
        <w:rPr>
          <w:i/>
        </w:rPr>
        <w:t>Esempio:</w:t>
      </w:r>
    </w:p>
    <w:p w:rsidR="00F8547E" w:rsidRDefault="00640112">
      <w:pPr>
        <w:spacing w:line="228" w:lineRule="auto"/>
        <w:ind w:left="567"/>
      </w:pPr>
      <w:r>
        <w:rPr>
          <w:sz w:val="22"/>
          <w:szCs w:val="22"/>
        </w:rPr>
        <w:t>J.Z. L</w:t>
      </w:r>
      <w:r>
        <w:rPr>
          <w:sz w:val="18"/>
          <w:szCs w:val="18"/>
        </w:rPr>
        <w:t>AUTERBACH</w:t>
      </w:r>
      <w:r>
        <w:rPr>
          <w:sz w:val="22"/>
          <w:szCs w:val="22"/>
        </w:rPr>
        <w:t xml:space="preserve">, </w:t>
      </w:r>
      <w:r>
        <w:rPr>
          <w:i/>
          <w:sz w:val="22"/>
          <w:szCs w:val="22"/>
        </w:rPr>
        <w:t>Melkita de-Rabbi Ishmael</w:t>
      </w:r>
      <w:r>
        <w:rPr>
          <w:sz w:val="22"/>
          <w:szCs w:val="22"/>
        </w:rPr>
        <w:t>,II, cit. in P. D</w:t>
      </w:r>
      <w:r>
        <w:rPr>
          <w:sz w:val="18"/>
          <w:szCs w:val="18"/>
        </w:rPr>
        <w:t xml:space="preserve">I </w:t>
      </w:r>
      <w:r>
        <w:rPr>
          <w:sz w:val="22"/>
          <w:szCs w:val="22"/>
        </w:rPr>
        <w:t>L</w:t>
      </w:r>
      <w:r>
        <w:rPr>
          <w:sz w:val="18"/>
          <w:szCs w:val="18"/>
        </w:rPr>
        <w:t>UCCIO</w:t>
      </w:r>
      <w:r>
        <w:rPr>
          <w:sz w:val="22"/>
          <w:szCs w:val="22"/>
        </w:rPr>
        <w:t xml:space="preserve">, </w:t>
      </w:r>
      <w:r>
        <w:rPr>
          <w:i/>
          <w:sz w:val="22"/>
          <w:szCs w:val="22"/>
        </w:rPr>
        <w:t>Il futuro come mosaico. Saggi sul tempio di Gerusalemme e sul sacerdozio di Gesù</w:t>
      </w:r>
      <w:r>
        <w:rPr>
          <w:sz w:val="22"/>
          <w:szCs w:val="22"/>
        </w:rPr>
        <w:t xml:space="preserve">, Il pozzo di Giacobbe, Trapani 2016, 114. </w:t>
      </w:r>
    </w:p>
    <w:p w:rsidR="00F8547E" w:rsidRDefault="00F8547E">
      <w:pPr>
        <w:spacing w:after="0" w:line="259" w:lineRule="auto"/>
        <w:jc w:val="left"/>
      </w:pPr>
    </w:p>
    <w:p w:rsidR="00F8547E" w:rsidRDefault="00640112">
      <w:r>
        <w:t xml:space="preserve">11.5. Data la diversità tra le riviste scientifiche, non si offre in questa sede una norma generale valida per tutte relativamente alla citazione dei saggi pubblicati sotto forma di articoli. Possiamo ipotizzare tre casi principali: </w:t>
      </w:r>
    </w:p>
    <w:p w:rsidR="00F8547E" w:rsidRDefault="00F8547E">
      <w:pPr>
        <w:spacing w:after="0" w:line="259" w:lineRule="auto"/>
        <w:jc w:val="left"/>
      </w:pPr>
    </w:p>
    <w:p w:rsidR="00F8547E" w:rsidRDefault="00640112">
      <w:pPr>
        <w:spacing w:after="27"/>
        <w:ind w:left="567"/>
      </w:pPr>
      <w:r>
        <w:t xml:space="preserve">11.5.1. Quando la numerazione delle pagine è progressiva nella singola annata: </w:t>
      </w:r>
    </w:p>
    <w:p w:rsidR="00F8547E" w:rsidRDefault="00640112">
      <w:pPr>
        <w:spacing w:after="124" w:line="259" w:lineRule="auto"/>
        <w:ind w:left="567"/>
        <w:jc w:val="left"/>
      </w:pPr>
      <w:r>
        <w:rPr>
          <w:i/>
        </w:rPr>
        <w:t>Esempio</w:t>
      </w:r>
      <w:r>
        <w:t xml:space="preserve">:  </w:t>
      </w:r>
    </w:p>
    <w:p w:rsidR="00F8547E" w:rsidRDefault="005A3776" w:rsidP="005A3776">
      <w:pPr>
        <w:spacing w:after="6" w:line="222" w:lineRule="auto"/>
        <w:ind w:left="567"/>
      </w:pPr>
      <w:r>
        <w:rPr>
          <w:sz w:val="22"/>
          <w:szCs w:val="22"/>
        </w:rPr>
        <w:t xml:space="preserve">G. </w:t>
      </w:r>
      <w:r w:rsidR="00640112">
        <w:rPr>
          <w:sz w:val="22"/>
          <w:szCs w:val="22"/>
        </w:rPr>
        <w:t>D</w:t>
      </w:r>
      <w:r w:rsidR="00640112">
        <w:rPr>
          <w:sz w:val="18"/>
          <w:szCs w:val="18"/>
        </w:rPr>
        <w:t xml:space="preserve">E </w:t>
      </w:r>
      <w:r w:rsidR="00640112">
        <w:rPr>
          <w:sz w:val="22"/>
          <w:szCs w:val="22"/>
        </w:rPr>
        <w:t>S</w:t>
      </w:r>
      <w:r w:rsidR="00640112">
        <w:rPr>
          <w:sz w:val="18"/>
          <w:szCs w:val="18"/>
        </w:rPr>
        <w:t xml:space="preserve">IMONE </w:t>
      </w:r>
      <w:r w:rsidR="00640112">
        <w:rPr>
          <w:sz w:val="22"/>
          <w:szCs w:val="22"/>
        </w:rPr>
        <w:t>–</w:t>
      </w:r>
      <w:r>
        <w:rPr>
          <w:sz w:val="22"/>
          <w:szCs w:val="22"/>
        </w:rPr>
        <w:t xml:space="preserve"> </w:t>
      </w:r>
      <w:r w:rsidR="00640112">
        <w:rPr>
          <w:sz w:val="22"/>
          <w:szCs w:val="22"/>
        </w:rPr>
        <w:t>F.</w:t>
      </w:r>
      <w:r>
        <w:rPr>
          <w:sz w:val="22"/>
          <w:szCs w:val="22"/>
        </w:rPr>
        <w:t xml:space="preserve"> </w:t>
      </w:r>
      <w:r w:rsidR="00640112">
        <w:rPr>
          <w:sz w:val="22"/>
          <w:szCs w:val="22"/>
        </w:rPr>
        <w:t>M</w:t>
      </w:r>
      <w:r w:rsidR="00640112">
        <w:rPr>
          <w:sz w:val="18"/>
          <w:szCs w:val="18"/>
        </w:rPr>
        <w:t>IANO</w:t>
      </w:r>
      <w:r w:rsidR="00640112">
        <w:rPr>
          <w:sz w:val="22"/>
          <w:szCs w:val="22"/>
        </w:rPr>
        <w:t xml:space="preserve">, «La famiglia luogo di umanizzazione. Nel sogno di Dio il sogno di una pienezza di umanità», in </w:t>
      </w:r>
      <w:r w:rsidR="00640112">
        <w:rPr>
          <w:i/>
          <w:sz w:val="22"/>
          <w:szCs w:val="22"/>
        </w:rPr>
        <w:t>Rassegna di Teologia</w:t>
      </w:r>
      <w:r w:rsidR="00640112">
        <w:rPr>
          <w:sz w:val="22"/>
          <w:szCs w:val="22"/>
        </w:rPr>
        <w:t xml:space="preserve"> 56 (2015) 357-368. </w:t>
      </w:r>
    </w:p>
    <w:p w:rsidR="00F8547E" w:rsidRDefault="00F8547E">
      <w:pPr>
        <w:spacing w:after="0" w:line="259" w:lineRule="auto"/>
        <w:ind w:left="567"/>
        <w:jc w:val="left"/>
      </w:pPr>
    </w:p>
    <w:p w:rsidR="00F8547E" w:rsidRDefault="00640112">
      <w:pPr>
        <w:ind w:left="567"/>
      </w:pPr>
      <w:r>
        <w:t xml:space="preserve">Il numero che segue il titolo della rivista è quello del volume o annata, il numero in parentesi è quello dell’anno di pubblicazione, i numeri che seguono indicano le pagine. Il titolo del saggio deveessere virgolettato, mentre il nome della rivista va in corsivo. </w:t>
      </w:r>
    </w:p>
    <w:p w:rsidR="00F8547E" w:rsidRDefault="00F8547E">
      <w:pPr>
        <w:spacing w:after="0" w:line="259" w:lineRule="auto"/>
        <w:ind w:left="567"/>
        <w:jc w:val="left"/>
      </w:pPr>
    </w:p>
    <w:p w:rsidR="00F8547E" w:rsidRDefault="00640112">
      <w:pPr>
        <w:ind w:left="567"/>
      </w:pPr>
      <w:r>
        <w:t xml:space="preserve">11.5.2. Riviste con più volumi per ogni annata. Tutto come negli esempi addotti al precedente punto, solo che, dopo la parentesi che racchiude l’anno, va aggiunto in cifre romane il numero del volume. </w:t>
      </w:r>
    </w:p>
    <w:p w:rsidR="00F8547E" w:rsidRDefault="00640112">
      <w:pPr>
        <w:spacing w:after="124" w:line="259" w:lineRule="auto"/>
        <w:ind w:left="567"/>
        <w:jc w:val="left"/>
      </w:pPr>
      <w:r>
        <w:rPr>
          <w:i/>
        </w:rPr>
        <w:t>Esempio</w:t>
      </w:r>
      <w:r>
        <w:t xml:space="preserve">:  </w:t>
      </w:r>
    </w:p>
    <w:p w:rsidR="00F8547E" w:rsidRDefault="00640112">
      <w:pPr>
        <w:spacing w:after="6" w:line="222" w:lineRule="auto"/>
        <w:ind w:left="567"/>
      </w:pPr>
      <w:r>
        <w:rPr>
          <w:sz w:val="22"/>
          <w:szCs w:val="22"/>
        </w:rPr>
        <w:t>X. T</w:t>
      </w:r>
      <w:r>
        <w:rPr>
          <w:sz w:val="18"/>
          <w:szCs w:val="18"/>
        </w:rPr>
        <w:t>ILLIETTE</w:t>
      </w:r>
      <w:r>
        <w:rPr>
          <w:sz w:val="22"/>
          <w:szCs w:val="22"/>
        </w:rPr>
        <w:t xml:space="preserve">, «Il centenario de “L’Action” di M. Blondel», in </w:t>
      </w:r>
      <w:r>
        <w:rPr>
          <w:i/>
          <w:sz w:val="22"/>
          <w:szCs w:val="22"/>
        </w:rPr>
        <w:t xml:space="preserve">La Civiltà Cattolica </w:t>
      </w:r>
      <w:r>
        <w:rPr>
          <w:sz w:val="22"/>
          <w:szCs w:val="22"/>
        </w:rPr>
        <w:t xml:space="preserve">144 (1993) III, 388-393. </w:t>
      </w:r>
    </w:p>
    <w:p w:rsidR="00F8547E" w:rsidRDefault="00F8547E">
      <w:pPr>
        <w:spacing w:after="0" w:line="259" w:lineRule="auto"/>
        <w:ind w:left="567"/>
        <w:jc w:val="left"/>
      </w:pPr>
    </w:p>
    <w:p w:rsidR="00F8547E" w:rsidRDefault="00640112">
      <w:pPr>
        <w:ind w:left="567"/>
      </w:pPr>
      <w:r>
        <w:t xml:space="preserve">11.5.3. Riviste senza numerazione continua dei volumi della propria serie, ma di solito con la numerazione progressiva dei fascicoli di ogni annata. </w:t>
      </w:r>
    </w:p>
    <w:p w:rsidR="00F8547E" w:rsidRDefault="00640112">
      <w:pPr>
        <w:spacing w:after="0" w:line="259" w:lineRule="auto"/>
        <w:ind w:left="567"/>
        <w:jc w:val="left"/>
      </w:pPr>
      <w:r>
        <w:rPr>
          <w:i/>
        </w:rPr>
        <w:t>Esempio</w:t>
      </w:r>
      <w:r>
        <w:t xml:space="preserve">:  </w:t>
      </w:r>
    </w:p>
    <w:p w:rsidR="00F8547E" w:rsidRDefault="00640112">
      <w:pPr>
        <w:spacing w:after="34" w:line="222" w:lineRule="auto"/>
        <w:ind w:left="567"/>
      </w:pPr>
      <w:r>
        <w:rPr>
          <w:sz w:val="22"/>
          <w:szCs w:val="22"/>
        </w:rPr>
        <w:t>V. M</w:t>
      </w:r>
      <w:r>
        <w:rPr>
          <w:sz w:val="18"/>
          <w:szCs w:val="18"/>
        </w:rPr>
        <w:t>ANNUCCI</w:t>
      </w:r>
      <w:r>
        <w:rPr>
          <w:sz w:val="22"/>
          <w:szCs w:val="22"/>
        </w:rPr>
        <w:t>,</w:t>
      </w:r>
      <w:r w:rsidR="005A3776">
        <w:rPr>
          <w:sz w:val="22"/>
          <w:szCs w:val="22"/>
        </w:rPr>
        <w:t xml:space="preserve"> </w:t>
      </w:r>
      <w:r>
        <w:rPr>
          <w:sz w:val="22"/>
          <w:szCs w:val="22"/>
        </w:rPr>
        <w:t xml:space="preserve">«Espressioni teologiche post-conciliari», in </w:t>
      </w:r>
      <w:r>
        <w:rPr>
          <w:i/>
          <w:sz w:val="22"/>
          <w:szCs w:val="22"/>
        </w:rPr>
        <w:t xml:space="preserve">Concilium </w:t>
      </w:r>
      <w:r>
        <w:rPr>
          <w:sz w:val="22"/>
          <w:szCs w:val="22"/>
        </w:rPr>
        <w:t xml:space="preserve">(1987/3) 27-56. </w:t>
      </w:r>
    </w:p>
    <w:p w:rsidR="00F8547E" w:rsidRDefault="00F8547E">
      <w:pPr>
        <w:spacing w:after="0" w:line="259" w:lineRule="auto"/>
        <w:jc w:val="left"/>
      </w:pPr>
    </w:p>
    <w:p w:rsidR="00F8547E" w:rsidRDefault="00640112">
      <w:pPr>
        <w:spacing w:after="27"/>
      </w:pPr>
      <w:r>
        <w:t>11.6. Per le opere</w:t>
      </w:r>
      <w:r w:rsidR="005A3776">
        <w:t xml:space="preserve"> </w:t>
      </w:r>
      <w:r>
        <w:t xml:space="preserve">in collaborazione si danno due casi: </w:t>
      </w:r>
    </w:p>
    <w:p w:rsidR="00F8547E" w:rsidRDefault="00F8547E">
      <w:pPr>
        <w:spacing w:after="102" w:line="259" w:lineRule="auto"/>
        <w:jc w:val="left"/>
      </w:pPr>
    </w:p>
    <w:p w:rsidR="00F8547E" w:rsidRDefault="00640112">
      <w:pPr>
        <w:spacing w:after="177"/>
        <w:ind w:left="567"/>
      </w:pPr>
      <w:r>
        <w:t xml:space="preserve">l1.6.1. Se è possibile indicare il/i curatore/i si utilizzi ed. o edd. e si segua la seguente modalità di citazione: </w:t>
      </w:r>
    </w:p>
    <w:p w:rsidR="00F8547E" w:rsidRDefault="00640112">
      <w:pPr>
        <w:spacing w:after="6" w:line="222" w:lineRule="auto"/>
        <w:ind w:left="567"/>
      </w:pPr>
      <w:r>
        <w:rPr>
          <w:sz w:val="22"/>
          <w:szCs w:val="22"/>
        </w:rPr>
        <w:lastRenderedPageBreak/>
        <w:t>N. G</w:t>
      </w:r>
      <w:r>
        <w:rPr>
          <w:sz w:val="18"/>
          <w:szCs w:val="18"/>
        </w:rPr>
        <w:t>ALANTINO</w:t>
      </w:r>
      <w:r>
        <w:rPr>
          <w:sz w:val="22"/>
          <w:szCs w:val="22"/>
        </w:rPr>
        <w:t>, «Antropologia contemporanea in prospettiva catechetica»</w:t>
      </w:r>
      <w:r w:rsidRPr="005A3776">
        <w:rPr>
          <w:sz w:val="22"/>
          <w:szCs w:val="22"/>
        </w:rPr>
        <w:t>,</w:t>
      </w:r>
      <w:r>
        <w:rPr>
          <w:i/>
          <w:sz w:val="22"/>
          <w:szCs w:val="22"/>
        </w:rPr>
        <w:t xml:space="preserve"> </w:t>
      </w:r>
      <w:r>
        <w:rPr>
          <w:sz w:val="22"/>
          <w:szCs w:val="22"/>
        </w:rPr>
        <w:t>in G. L</w:t>
      </w:r>
      <w:r>
        <w:rPr>
          <w:sz w:val="18"/>
          <w:szCs w:val="18"/>
        </w:rPr>
        <w:t>ORIZIO</w:t>
      </w:r>
      <w:r>
        <w:rPr>
          <w:sz w:val="22"/>
          <w:szCs w:val="22"/>
        </w:rPr>
        <w:t xml:space="preserve"> - V. S</w:t>
      </w:r>
      <w:r>
        <w:rPr>
          <w:sz w:val="18"/>
          <w:szCs w:val="18"/>
        </w:rPr>
        <w:t>CIPPA</w:t>
      </w:r>
      <w:r>
        <w:rPr>
          <w:sz w:val="22"/>
          <w:szCs w:val="22"/>
        </w:rPr>
        <w:t xml:space="preserve"> (edd.), </w:t>
      </w:r>
      <w:r>
        <w:rPr>
          <w:i/>
          <w:sz w:val="22"/>
          <w:szCs w:val="22"/>
        </w:rPr>
        <w:t>Ecclesiae sacramentum</w:t>
      </w:r>
      <w:r>
        <w:rPr>
          <w:sz w:val="22"/>
          <w:szCs w:val="22"/>
        </w:rPr>
        <w:t xml:space="preserve">. </w:t>
      </w:r>
      <w:r>
        <w:rPr>
          <w:i/>
          <w:sz w:val="22"/>
          <w:szCs w:val="22"/>
        </w:rPr>
        <w:t>Studi in onore di P. Alfredo Marranzini S.J.</w:t>
      </w:r>
      <w:r>
        <w:rPr>
          <w:sz w:val="22"/>
          <w:szCs w:val="22"/>
        </w:rPr>
        <w:t>,</w:t>
      </w:r>
      <w:r w:rsidR="005A3776">
        <w:rPr>
          <w:sz w:val="22"/>
          <w:szCs w:val="22"/>
        </w:rPr>
        <w:t xml:space="preserve"> </w:t>
      </w:r>
      <w:r>
        <w:rPr>
          <w:sz w:val="22"/>
          <w:szCs w:val="22"/>
        </w:rPr>
        <w:t xml:space="preserve">D’Auria, Napoli 1986, 393-427. </w:t>
      </w:r>
    </w:p>
    <w:p w:rsidR="00F8547E" w:rsidRDefault="00F8547E">
      <w:pPr>
        <w:spacing w:after="41" w:line="259" w:lineRule="auto"/>
        <w:ind w:left="567"/>
        <w:jc w:val="left"/>
      </w:pPr>
    </w:p>
    <w:p w:rsidR="00F8547E" w:rsidRDefault="00640112">
      <w:pPr>
        <w:ind w:left="567"/>
      </w:pPr>
      <w:r>
        <w:t xml:space="preserve">11.6.2. Se si tratta di opere curate da qualcuno (edizione critica, introduzione, ecc.) si scriva così: </w:t>
      </w:r>
    </w:p>
    <w:p w:rsidR="00F8547E" w:rsidRDefault="00F8547E">
      <w:pPr>
        <w:spacing w:after="89" w:line="259" w:lineRule="auto"/>
        <w:ind w:left="567"/>
        <w:jc w:val="left"/>
      </w:pPr>
    </w:p>
    <w:p w:rsidR="00F8547E" w:rsidRDefault="00640112">
      <w:pPr>
        <w:spacing w:line="228" w:lineRule="auto"/>
        <w:ind w:left="567"/>
      </w:pPr>
      <w:r>
        <w:rPr>
          <w:sz w:val="22"/>
          <w:szCs w:val="22"/>
        </w:rPr>
        <w:t>A.</w:t>
      </w:r>
      <w:r w:rsidR="005A3776">
        <w:rPr>
          <w:sz w:val="22"/>
          <w:szCs w:val="22"/>
        </w:rPr>
        <w:t xml:space="preserve"> </w:t>
      </w:r>
      <w:r>
        <w:rPr>
          <w:sz w:val="22"/>
          <w:szCs w:val="22"/>
        </w:rPr>
        <w:t>H</w:t>
      </w:r>
      <w:r>
        <w:rPr>
          <w:sz w:val="18"/>
          <w:szCs w:val="18"/>
        </w:rPr>
        <w:t>ARNACK</w:t>
      </w:r>
      <w:r>
        <w:rPr>
          <w:sz w:val="22"/>
          <w:szCs w:val="22"/>
        </w:rPr>
        <w:t xml:space="preserve">, </w:t>
      </w:r>
      <w:r>
        <w:rPr>
          <w:i/>
          <w:sz w:val="22"/>
          <w:szCs w:val="22"/>
        </w:rPr>
        <w:t>Militia Christi</w:t>
      </w:r>
      <w:r>
        <w:rPr>
          <w:sz w:val="22"/>
          <w:szCs w:val="22"/>
        </w:rPr>
        <w:t xml:space="preserve">. </w:t>
      </w:r>
      <w:r>
        <w:rPr>
          <w:i/>
          <w:sz w:val="22"/>
          <w:szCs w:val="22"/>
        </w:rPr>
        <w:t>La religione cristiana e il ceto militare nei primi tre secoli</w:t>
      </w:r>
      <w:r>
        <w:rPr>
          <w:sz w:val="22"/>
          <w:szCs w:val="22"/>
        </w:rPr>
        <w:t xml:space="preserve">, a cura di S. Tanzarella, L’Epos, Palermo 2004. </w:t>
      </w:r>
    </w:p>
    <w:p w:rsidR="00F8547E" w:rsidRDefault="00F8547E">
      <w:pPr>
        <w:spacing w:after="90" w:line="259" w:lineRule="auto"/>
        <w:jc w:val="left"/>
      </w:pPr>
    </w:p>
    <w:p w:rsidR="00F8547E" w:rsidRDefault="00F8547E">
      <w:pPr>
        <w:spacing w:line="259" w:lineRule="auto"/>
        <w:jc w:val="left"/>
      </w:pPr>
    </w:p>
    <w:p w:rsidR="00F8547E" w:rsidRDefault="00640112">
      <w:r>
        <w:t xml:space="preserve">11.7. Per le enciclopedie e i dizionari si segue un sistema analogo a quello adottato per le opere in collaborazione, ricordandosi di aggiungere in cifre romane il numero del volume dopo il titolo dell’enciclopedia o del dizionario. </w:t>
      </w:r>
    </w:p>
    <w:p w:rsidR="00F8547E" w:rsidRDefault="00640112">
      <w:pPr>
        <w:spacing w:after="0" w:line="259" w:lineRule="auto"/>
        <w:ind w:left="567"/>
        <w:jc w:val="left"/>
      </w:pPr>
      <w:r>
        <w:rPr>
          <w:i/>
        </w:rPr>
        <w:t>Esempio</w:t>
      </w:r>
      <w:r>
        <w:t xml:space="preserve">:  </w:t>
      </w:r>
    </w:p>
    <w:p w:rsidR="00F8547E" w:rsidRDefault="00640112">
      <w:pPr>
        <w:spacing w:after="6" w:line="222" w:lineRule="auto"/>
        <w:ind w:left="567"/>
      </w:pPr>
      <w:r>
        <w:rPr>
          <w:sz w:val="22"/>
          <w:szCs w:val="22"/>
        </w:rPr>
        <w:t>I. R</w:t>
      </w:r>
      <w:r>
        <w:rPr>
          <w:sz w:val="18"/>
          <w:szCs w:val="18"/>
        </w:rPr>
        <w:t>ODRIGUEZ</w:t>
      </w:r>
      <w:r>
        <w:rPr>
          <w:sz w:val="22"/>
          <w:szCs w:val="22"/>
        </w:rPr>
        <w:t xml:space="preserve">, «Purificazione», in </w:t>
      </w:r>
      <w:r>
        <w:rPr>
          <w:i/>
          <w:sz w:val="22"/>
          <w:szCs w:val="22"/>
        </w:rPr>
        <w:t xml:space="preserve">Dizionario Enciclopedico di spiritualità </w:t>
      </w:r>
      <w:r>
        <w:rPr>
          <w:sz w:val="22"/>
          <w:szCs w:val="22"/>
        </w:rPr>
        <w:t xml:space="preserve">II, Studium, Roma 1975, 1539-1547. </w:t>
      </w:r>
    </w:p>
    <w:p w:rsidR="00F8547E" w:rsidRDefault="00F8547E">
      <w:pPr>
        <w:spacing w:after="124" w:line="259" w:lineRule="auto"/>
        <w:ind w:left="567"/>
        <w:jc w:val="left"/>
      </w:pPr>
    </w:p>
    <w:p w:rsidR="00F8547E" w:rsidRDefault="00640112">
      <w:pPr>
        <w:ind w:left="567"/>
      </w:pPr>
      <w:r>
        <w:t xml:space="preserve">Naturalmente nel caso sia indicato il curatore (o i curatori) bisogna comportarsi come nell’esempio seguente. </w:t>
      </w:r>
    </w:p>
    <w:p w:rsidR="00F8547E" w:rsidRDefault="00640112">
      <w:pPr>
        <w:spacing w:after="0" w:line="259" w:lineRule="auto"/>
        <w:ind w:left="567"/>
        <w:jc w:val="left"/>
      </w:pPr>
      <w:r>
        <w:rPr>
          <w:i/>
        </w:rPr>
        <w:t xml:space="preserve">Esempio:  </w:t>
      </w:r>
    </w:p>
    <w:p w:rsidR="00F8547E" w:rsidRDefault="00640112">
      <w:pPr>
        <w:spacing w:after="6" w:line="222" w:lineRule="auto"/>
        <w:ind w:left="567"/>
      </w:pPr>
      <w:r>
        <w:rPr>
          <w:sz w:val="22"/>
          <w:szCs w:val="22"/>
        </w:rPr>
        <w:t>C. V</w:t>
      </w:r>
      <w:r>
        <w:rPr>
          <w:sz w:val="18"/>
          <w:szCs w:val="18"/>
        </w:rPr>
        <w:t>AGAGGINI</w:t>
      </w:r>
      <w:r>
        <w:rPr>
          <w:sz w:val="22"/>
          <w:szCs w:val="22"/>
        </w:rPr>
        <w:t>, «Teologia»,</w:t>
      </w:r>
      <w:r w:rsidR="005A3776">
        <w:rPr>
          <w:sz w:val="22"/>
          <w:szCs w:val="22"/>
        </w:rPr>
        <w:t xml:space="preserve"> </w:t>
      </w:r>
      <w:r>
        <w:rPr>
          <w:sz w:val="22"/>
          <w:szCs w:val="22"/>
        </w:rPr>
        <w:t>in G.B</w:t>
      </w:r>
      <w:r>
        <w:rPr>
          <w:sz w:val="18"/>
          <w:szCs w:val="18"/>
        </w:rPr>
        <w:t>ARBAGLIO</w:t>
      </w:r>
      <w:r>
        <w:rPr>
          <w:sz w:val="22"/>
          <w:szCs w:val="22"/>
        </w:rPr>
        <w:t xml:space="preserve"> - S. D</w:t>
      </w:r>
      <w:r>
        <w:rPr>
          <w:sz w:val="18"/>
          <w:szCs w:val="18"/>
        </w:rPr>
        <w:t>IANICH</w:t>
      </w:r>
      <w:r>
        <w:rPr>
          <w:sz w:val="22"/>
          <w:szCs w:val="22"/>
        </w:rPr>
        <w:t xml:space="preserve"> (edd.), </w:t>
      </w:r>
      <w:r>
        <w:rPr>
          <w:i/>
          <w:sz w:val="22"/>
          <w:szCs w:val="22"/>
        </w:rPr>
        <w:t xml:space="preserve">Nuovo dizionario di Teologia, </w:t>
      </w:r>
      <w:r>
        <w:rPr>
          <w:sz w:val="22"/>
          <w:szCs w:val="22"/>
        </w:rPr>
        <w:t>Paoline, Roma 1982</w:t>
      </w:r>
      <w:r>
        <w:rPr>
          <w:sz w:val="22"/>
          <w:szCs w:val="22"/>
          <w:vertAlign w:val="superscript"/>
        </w:rPr>
        <w:t>3</w:t>
      </w:r>
      <w:r>
        <w:rPr>
          <w:sz w:val="22"/>
          <w:szCs w:val="22"/>
        </w:rPr>
        <w:t xml:space="preserve">, 1597-1711. </w:t>
      </w:r>
    </w:p>
    <w:p w:rsidR="00F8547E" w:rsidRDefault="00F8547E">
      <w:pPr>
        <w:spacing w:after="6" w:line="259" w:lineRule="auto"/>
        <w:jc w:val="left"/>
      </w:pPr>
    </w:p>
    <w:p w:rsidR="00F8547E" w:rsidRDefault="00640112">
      <w:pPr>
        <w:spacing w:after="27"/>
      </w:pPr>
      <w:r>
        <w:t xml:space="preserve">11.8. Se si tratta di opere straniere tradotte in italiano si scriva così:  </w:t>
      </w:r>
    </w:p>
    <w:p w:rsidR="00F8547E" w:rsidRDefault="00F8547E">
      <w:pPr>
        <w:spacing w:after="89" w:line="259" w:lineRule="auto"/>
        <w:jc w:val="left"/>
      </w:pPr>
    </w:p>
    <w:p w:rsidR="00F8547E" w:rsidRDefault="00640112">
      <w:pPr>
        <w:spacing w:line="228" w:lineRule="auto"/>
        <w:ind w:left="567"/>
      </w:pPr>
      <w:r>
        <w:rPr>
          <w:sz w:val="22"/>
          <w:szCs w:val="22"/>
        </w:rPr>
        <w:t>J. M</w:t>
      </w:r>
      <w:r>
        <w:rPr>
          <w:sz w:val="18"/>
          <w:szCs w:val="18"/>
        </w:rPr>
        <w:t>OLTMANN</w:t>
      </w:r>
      <w:r>
        <w:rPr>
          <w:sz w:val="22"/>
          <w:szCs w:val="22"/>
        </w:rPr>
        <w:t xml:space="preserve">, </w:t>
      </w:r>
      <w:r>
        <w:rPr>
          <w:i/>
          <w:sz w:val="22"/>
          <w:szCs w:val="22"/>
        </w:rPr>
        <w:t>Teologia della speranza. Ricerche sui fondamenti e sulle implicazioni di una escatologia cristiana</w:t>
      </w:r>
      <w:r>
        <w:rPr>
          <w:sz w:val="22"/>
          <w:szCs w:val="22"/>
        </w:rPr>
        <w:t xml:space="preserve">, tr. it. a cura di A. Comba, Queriniana, Brescia 1970.  </w:t>
      </w:r>
    </w:p>
    <w:p w:rsidR="00F8547E" w:rsidRDefault="00F8547E">
      <w:pPr>
        <w:spacing w:after="112" w:line="259" w:lineRule="auto"/>
        <w:ind w:left="567"/>
        <w:jc w:val="left"/>
      </w:pPr>
    </w:p>
    <w:p w:rsidR="00F8547E" w:rsidRDefault="00640112">
      <w:pPr>
        <w:ind w:left="567"/>
      </w:pPr>
      <w:r>
        <w:t xml:space="preserve">La citazione del traduttore è a discrezione dell’autore del testo e, comunque, risulta opportuna per opere che hanno avuto diverse traduzioni e quando è facilmente reperibile il traduttore.  </w:t>
      </w:r>
    </w:p>
    <w:p w:rsidR="00F8547E" w:rsidRDefault="00F8547E">
      <w:pPr>
        <w:spacing w:after="6" w:line="259" w:lineRule="auto"/>
        <w:jc w:val="left"/>
      </w:pPr>
    </w:p>
    <w:p w:rsidR="00F8547E" w:rsidRDefault="00640112">
      <w:r>
        <w:t xml:space="preserve">11.9. Data la grande varietà esistente di collezioni o collane non è possibile indicare norme valide per tutte. Ci si limiti pertanto a segnalare collezioni o collane (comunque solo di consistenza scientifica) e, quando lo si fa, si ponga in parentesi, dopo il titolo dell’opera, quello della collezione in cui è situata, seguita dal numero. </w:t>
      </w:r>
    </w:p>
    <w:p w:rsidR="00F8547E" w:rsidRDefault="00640112" w:rsidP="005A3776">
      <w:pPr>
        <w:spacing w:after="0" w:line="240" w:lineRule="auto"/>
        <w:ind w:left="567"/>
        <w:jc w:val="left"/>
      </w:pPr>
      <w:r>
        <w:rPr>
          <w:i/>
        </w:rPr>
        <w:t>Esempio</w:t>
      </w:r>
      <w:r>
        <w:t xml:space="preserve">:  </w:t>
      </w:r>
    </w:p>
    <w:p w:rsidR="00F8547E" w:rsidRDefault="00640112">
      <w:pPr>
        <w:spacing w:line="228" w:lineRule="auto"/>
        <w:ind w:left="567"/>
      </w:pPr>
      <w:r>
        <w:rPr>
          <w:sz w:val="22"/>
          <w:szCs w:val="22"/>
        </w:rPr>
        <w:t>C. G</w:t>
      </w:r>
      <w:r>
        <w:rPr>
          <w:sz w:val="18"/>
          <w:szCs w:val="18"/>
        </w:rPr>
        <w:t>RECO</w:t>
      </w:r>
      <w:r>
        <w:rPr>
          <w:sz w:val="22"/>
          <w:szCs w:val="22"/>
        </w:rPr>
        <w:t xml:space="preserve"> (ed.), </w:t>
      </w:r>
      <w:r>
        <w:rPr>
          <w:i/>
          <w:sz w:val="22"/>
          <w:szCs w:val="22"/>
        </w:rPr>
        <w:t>Pensiero e storicità. Saggi su Hegel, Marx, Gadamer e Bonhoeffer</w:t>
      </w:r>
      <w:r>
        <w:rPr>
          <w:sz w:val="22"/>
          <w:szCs w:val="22"/>
        </w:rPr>
        <w:t xml:space="preserve"> (Aloisiana 19), Morcelliana, Brescia 1985. </w:t>
      </w:r>
    </w:p>
    <w:p w:rsidR="00F8547E" w:rsidRDefault="00F8547E">
      <w:pPr>
        <w:spacing w:after="6" w:line="259" w:lineRule="auto"/>
        <w:jc w:val="left"/>
      </w:pPr>
    </w:p>
    <w:p w:rsidR="00F8547E" w:rsidRDefault="00640112">
      <w:r>
        <w:t xml:space="preserve">11.10. Quando si cita più volte lo stesso autore o la stessa opera conviene far ricorso alle seguenti abbreviazioni: </w:t>
      </w:r>
    </w:p>
    <w:p w:rsidR="00F8547E" w:rsidRDefault="00640112">
      <w:pPr>
        <w:numPr>
          <w:ilvl w:val="0"/>
          <w:numId w:val="3"/>
        </w:numPr>
        <w:spacing w:after="27"/>
        <w:ind w:left="567" w:firstLine="0"/>
      </w:pPr>
      <w:r>
        <w:t xml:space="preserve">stesso autore: </w:t>
      </w:r>
      <w:r>
        <w:rPr>
          <w:b/>
        </w:rPr>
        <w:t>I</w:t>
      </w:r>
      <w:r>
        <w:rPr>
          <w:b/>
          <w:sz w:val="19"/>
          <w:szCs w:val="19"/>
        </w:rPr>
        <w:t>D</w:t>
      </w:r>
      <w:r>
        <w:rPr>
          <w:b/>
        </w:rPr>
        <w:t>. (in maiuscoletto)</w:t>
      </w:r>
      <w:r>
        <w:t xml:space="preserve">; </w:t>
      </w:r>
    </w:p>
    <w:p w:rsidR="00F8547E" w:rsidRDefault="00640112">
      <w:pPr>
        <w:numPr>
          <w:ilvl w:val="0"/>
          <w:numId w:val="3"/>
        </w:numPr>
        <w:ind w:left="567" w:firstLine="0"/>
      </w:pPr>
      <w:r>
        <w:t xml:space="preserve">stesso autore e stessa opera citati immediatamente prima: </w:t>
      </w:r>
      <w:r>
        <w:rPr>
          <w:b/>
          <w:i/>
        </w:rPr>
        <w:t>Ibidem</w:t>
      </w:r>
      <w:r>
        <w:rPr>
          <w:b/>
        </w:rPr>
        <w:t>,</w:t>
      </w:r>
      <w:r>
        <w:t xml:space="preserve">con il numero della   pagina o delle pagine di riferimento; </w:t>
      </w:r>
    </w:p>
    <w:p w:rsidR="00F8547E" w:rsidRDefault="00640112">
      <w:pPr>
        <w:numPr>
          <w:ilvl w:val="0"/>
          <w:numId w:val="3"/>
        </w:numPr>
        <w:ind w:left="567" w:firstLine="0"/>
      </w:pPr>
      <w:r>
        <w:t xml:space="preserve">stesso autore, stessa opera, stessa pagina citata subito prima: </w:t>
      </w:r>
      <w:r>
        <w:rPr>
          <w:i/>
        </w:rPr>
        <w:t>Ibidem</w:t>
      </w:r>
      <w:r>
        <w:t xml:space="preserve"> senza ulteriore indicazione di pagina. </w:t>
      </w:r>
    </w:p>
    <w:p w:rsidR="00F8547E" w:rsidRDefault="00F8547E">
      <w:pPr>
        <w:spacing w:after="81" w:line="259" w:lineRule="auto"/>
        <w:jc w:val="left"/>
      </w:pPr>
    </w:p>
    <w:p w:rsidR="00F8547E" w:rsidRDefault="00640112">
      <w:r>
        <w:lastRenderedPageBreak/>
        <w:t xml:space="preserve">11.11. Quando è necessario citare più volte la stessa opera si riporti il titolo dell’opera abbreviato:  </w:t>
      </w:r>
    </w:p>
    <w:p w:rsidR="00F8547E" w:rsidRDefault="00640112">
      <w:pPr>
        <w:spacing w:after="102" w:line="259" w:lineRule="auto"/>
        <w:ind w:left="567"/>
        <w:jc w:val="left"/>
      </w:pPr>
      <w:r>
        <w:rPr>
          <w:i/>
        </w:rPr>
        <w:t>Esempio</w:t>
      </w:r>
      <w:r>
        <w:t xml:space="preserve">:  </w:t>
      </w:r>
    </w:p>
    <w:p w:rsidR="00F8547E" w:rsidRDefault="00640112" w:rsidP="005A3776">
      <w:pPr>
        <w:tabs>
          <w:tab w:val="center" w:pos="283"/>
        </w:tabs>
        <w:spacing w:after="29" w:line="228" w:lineRule="auto"/>
        <w:ind w:left="567"/>
        <w:jc w:val="left"/>
      </w:pPr>
      <w:r>
        <w:rPr>
          <w:sz w:val="22"/>
          <w:szCs w:val="22"/>
        </w:rPr>
        <w:t>G. G</w:t>
      </w:r>
      <w:r>
        <w:rPr>
          <w:sz w:val="18"/>
          <w:szCs w:val="18"/>
        </w:rPr>
        <w:t>UGLIELMI</w:t>
      </w:r>
      <w:r>
        <w:rPr>
          <w:sz w:val="22"/>
          <w:szCs w:val="22"/>
        </w:rPr>
        <w:t xml:space="preserve">, </w:t>
      </w:r>
      <w:r>
        <w:rPr>
          <w:i/>
          <w:sz w:val="22"/>
          <w:szCs w:val="22"/>
        </w:rPr>
        <w:t>L’incontro con il passato</w:t>
      </w:r>
      <w:r>
        <w:rPr>
          <w:sz w:val="22"/>
          <w:szCs w:val="22"/>
        </w:rPr>
        <w:t>, 90-100.</w:t>
      </w:r>
    </w:p>
    <w:p w:rsidR="00F8547E" w:rsidRDefault="00F8547E">
      <w:pPr>
        <w:spacing w:after="0" w:line="259" w:lineRule="auto"/>
        <w:jc w:val="left"/>
      </w:pPr>
    </w:p>
    <w:p w:rsidR="00F8547E" w:rsidRDefault="00640112">
      <w:r>
        <w:t xml:space="preserve">11.12. Per le risorse on-line ci si può attenere alle norme precedenti sostituendo l’editore e l’anno di edizione con l’indirizzo Web della risorsa (URL) in corsivo (senza il prefisso http://) e l’ultima data in cui si è consultato il sito tra parentesi quadra. </w:t>
      </w:r>
    </w:p>
    <w:p w:rsidR="00F8547E" w:rsidRDefault="00640112">
      <w:pPr>
        <w:spacing w:after="124" w:line="259" w:lineRule="auto"/>
        <w:ind w:left="567"/>
        <w:jc w:val="left"/>
      </w:pPr>
      <w:r>
        <w:rPr>
          <w:i/>
        </w:rPr>
        <w:t>Esempi</w:t>
      </w:r>
      <w:r>
        <w:t xml:space="preserve">:  </w:t>
      </w:r>
    </w:p>
    <w:p w:rsidR="00F8547E" w:rsidRDefault="00640112">
      <w:pPr>
        <w:spacing w:after="6" w:line="222" w:lineRule="auto"/>
        <w:ind w:left="567"/>
      </w:pPr>
      <w:r>
        <w:rPr>
          <w:sz w:val="22"/>
          <w:szCs w:val="22"/>
        </w:rPr>
        <w:t>R. Z</w:t>
      </w:r>
      <w:r>
        <w:rPr>
          <w:sz w:val="18"/>
          <w:szCs w:val="18"/>
        </w:rPr>
        <w:t xml:space="preserve">AS </w:t>
      </w:r>
      <w:r>
        <w:rPr>
          <w:sz w:val="22"/>
          <w:szCs w:val="22"/>
        </w:rPr>
        <w:t>F</w:t>
      </w:r>
      <w:r>
        <w:rPr>
          <w:sz w:val="18"/>
          <w:szCs w:val="18"/>
        </w:rPr>
        <w:t xml:space="preserve">RIZ </w:t>
      </w:r>
      <w:r>
        <w:rPr>
          <w:sz w:val="22"/>
          <w:szCs w:val="22"/>
        </w:rPr>
        <w:t>D</w:t>
      </w:r>
      <w:r>
        <w:rPr>
          <w:sz w:val="18"/>
          <w:szCs w:val="18"/>
        </w:rPr>
        <w:t xml:space="preserve">E </w:t>
      </w:r>
      <w:r>
        <w:rPr>
          <w:sz w:val="22"/>
          <w:szCs w:val="22"/>
        </w:rPr>
        <w:t>C</w:t>
      </w:r>
      <w:r>
        <w:rPr>
          <w:sz w:val="18"/>
          <w:szCs w:val="18"/>
        </w:rPr>
        <w:t>OL</w:t>
      </w:r>
      <w:r>
        <w:rPr>
          <w:sz w:val="22"/>
          <w:szCs w:val="22"/>
        </w:rPr>
        <w:t>,</w:t>
      </w:r>
      <w:r w:rsidR="005A3776">
        <w:rPr>
          <w:sz w:val="22"/>
          <w:szCs w:val="22"/>
        </w:rPr>
        <w:t xml:space="preserve"> </w:t>
      </w:r>
      <w:r>
        <w:rPr>
          <w:sz w:val="22"/>
          <w:szCs w:val="22"/>
        </w:rPr>
        <w:t xml:space="preserve">«La trasformazione mistica ignaziana», in </w:t>
      </w:r>
      <w:r>
        <w:rPr>
          <w:i/>
          <w:sz w:val="22"/>
          <w:szCs w:val="22"/>
        </w:rPr>
        <w:t xml:space="preserve">Ignaziana </w:t>
      </w:r>
      <w:r>
        <w:rPr>
          <w:sz w:val="22"/>
          <w:szCs w:val="22"/>
        </w:rPr>
        <w:t xml:space="preserve">5 (2008) 21-33, </w:t>
      </w:r>
      <w:r>
        <w:rPr>
          <w:i/>
          <w:sz w:val="22"/>
          <w:szCs w:val="22"/>
        </w:rPr>
        <w:t>www.ignaziana.org</w:t>
      </w:r>
      <w:r>
        <w:rPr>
          <w:sz w:val="22"/>
          <w:szCs w:val="22"/>
        </w:rPr>
        <w:t xml:space="preserve"> [ultimo accesso: 13.V.2010].  </w:t>
      </w:r>
    </w:p>
    <w:p w:rsidR="00F8547E" w:rsidRDefault="00640112">
      <w:pPr>
        <w:spacing w:after="6" w:line="222" w:lineRule="auto"/>
        <w:ind w:left="567"/>
      </w:pPr>
      <w:r>
        <w:rPr>
          <w:sz w:val="22"/>
          <w:szCs w:val="22"/>
        </w:rPr>
        <w:t>F.</w:t>
      </w:r>
      <w:r w:rsidR="005A3776">
        <w:rPr>
          <w:sz w:val="22"/>
          <w:szCs w:val="22"/>
        </w:rPr>
        <w:t xml:space="preserve"> </w:t>
      </w:r>
      <w:r>
        <w:rPr>
          <w:sz w:val="22"/>
          <w:szCs w:val="22"/>
        </w:rPr>
        <w:t>A</w:t>
      </w:r>
      <w:r>
        <w:rPr>
          <w:sz w:val="18"/>
          <w:szCs w:val="18"/>
        </w:rPr>
        <w:t>STI</w:t>
      </w:r>
      <w:r>
        <w:rPr>
          <w:sz w:val="22"/>
          <w:szCs w:val="22"/>
        </w:rPr>
        <w:t>, «Teologia spirituale e/o teologia della vita mistica»</w:t>
      </w:r>
      <w:r>
        <w:rPr>
          <w:i/>
          <w:sz w:val="22"/>
          <w:szCs w:val="22"/>
        </w:rPr>
        <w:t xml:space="preserve">, </w:t>
      </w:r>
      <w:r>
        <w:rPr>
          <w:sz w:val="22"/>
          <w:szCs w:val="22"/>
        </w:rPr>
        <w:t xml:space="preserve">in </w:t>
      </w:r>
      <w:r>
        <w:rPr>
          <w:i/>
          <w:sz w:val="22"/>
          <w:szCs w:val="22"/>
        </w:rPr>
        <w:t xml:space="preserve">Mysterion </w:t>
      </w:r>
      <w:r>
        <w:rPr>
          <w:sz w:val="22"/>
          <w:szCs w:val="22"/>
        </w:rPr>
        <w:t xml:space="preserve">1 (2009) 3-21, </w:t>
      </w:r>
      <w:r>
        <w:rPr>
          <w:i/>
          <w:sz w:val="22"/>
          <w:szCs w:val="22"/>
        </w:rPr>
        <w:t xml:space="preserve">www.mysterion.it </w:t>
      </w:r>
      <w:r>
        <w:rPr>
          <w:sz w:val="22"/>
          <w:szCs w:val="22"/>
        </w:rPr>
        <w:t>[ultimo accesso: 13.05.2010].</w:t>
      </w:r>
    </w:p>
    <w:p w:rsidR="00F8547E" w:rsidRDefault="00640112">
      <w:pPr>
        <w:spacing w:line="228" w:lineRule="auto"/>
        <w:ind w:left="567"/>
        <w:rPr>
          <w:sz w:val="22"/>
          <w:szCs w:val="22"/>
        </w:rPr>
      </w:pPr>
      <w:r>
        <w:rPr>
          <w:sz w:val="22"/>
          <w:szCs w:val="22"/>
        </w:rPr>
        <w:t>B</w:t>
      </w:r>
      <w:r>
        <w:rPr>
          <w:sz w:val="18"/>
          <w:szCs w:val="18"/>
        </w:rPr>
        <w:t>ENEDETTO</w:t>
      </w:r>
      <w:r>
        <w:rPr>
          <w:sz w:val="22"/>
          <w:szCs w:val="22"/>
        </w:rPr>
        <w:t xml:space="preserve"> XVI, «Benedizione della Prima Pietra dell’Università di Madaba del Patriarcato latino» (9 maggio 2009), in </w:t>
      </w:r>
      <w:r>
        <w:rPr>
          <w:i/>
          <w:sz w:val="22"/>
          <w:szCs w:val="22"/>
        </w:rPr>
        <w:t>www.vatican.va/holy_father/benedict_xvi/speeches/2009/may/documents/ hf_ben-xvi_spe_20090509_pietra-madaba_it.html</w:t>
      </w:r>
    </w:p>
    <w:p w:rsidR="00F8547E" w:rsidRDefault="00F8547E">
      <w:pPr>
        <w:spacing w:line="228" w:lineRule="auto"/>
      </w:pPr>
    </w:p>
    <w:p w:rsidR="00F8547E" w:rsidRDefault="00640112">
      <w:pPr>
        <w:spacing w:line="228" w:lineRule="auto"/>
        <w:rPr>
          <w:color w:val="000000"/>
        </w:rPr>
      </w:pPr>
      <w:r>
        <w:rPr>
          <w:color w:val="000000"/>
        </w:rPr>
        <w:t xml:space="preserve">11.13. Citazioni patristiche: </w:t>
      </w:r>
    </w:p>
    <w:p w:rsidR="00F8547E" w:rsidRDefault="00640112">
      <w:pPr>
        <w:spacing w:line="228" w:lineRule="auto"/>
        <w:rPr>
          <w:color w:val="000000"/>
        </w:rPr>
      </w:pPr>
      <w:r>
        <w:rPr>
          <w:color w:val="000000"/>
        </w:rPr>
        <w:t xml:space="preserve">AUTORE (in italiano), Titolo (in latino senza abbreviazioni) riferimento interno (senza virgola). Se è necessario, si aggiunga il riferimento di un’edizione critica, o di una traduzione dopo i due punti. </w:t>
      </w:r>
    </w:p>
    <w:p w:rsidR="00F8547E" w:rsidRDefault="00640112">
      <w:pPr>
        <w:spacing w:line="228" w:lineRule="auto"/>
        <w:rPr>
          <w:color w:val="000000"/>
        </w:rPr>
      </w:pPr>
      <w:r>
        <w:rPr>
          <w:smallCaps/>
          <w:color w:val="000000"/>
        </w:rPr>
        <w:t>Ireneo di Lione</w:t>
      </w:r>
      <w:r>
        <w:rPr>
          <w:color w:val="000000"/>
        </w:rPr>
        <w:t xml:space="preserve">, </w:t>
      </w:r>
      <w:r>
        <w:rPr>
          <w:i/>
          <w:color w:val="000000"/>
        </w:rPr>
        <w:t>Adversus haereses</w:t>
      </w:r>
      <w:r>
        <w:rPr>
          <w:color w:val="000000"/>
        </w:rPr>
        <w:t xml:space="preserve"> I, 14: PG 7, 593. </w:t>
      </w:r>
    </w:p>
    <w:p w:rsidR="00F8547E" w:rsidRDefault="00640112">
      <w:pPr>
        <w:spacing w:line="228" w:lineRule="auto"/>
        <w:rPr>
          <w:color w:val="000000"/>
        </w:rPr>
      </w:pPr>
      <w:r>
        <w:rPr>
          <w:smallCaps/>
          <w:color w:val="000000"/>
        </w:rPr>
        <w:t>Ireneo di Lione</w:t>
      </w:r>
      <w:r>
        <w:rPr>
          <w:color w:val="000000"/>
        </w:rPr>
        <w:t xml:space="preserve">, </w:t>
      </w:r>
      <w:r>
        <w:rPr>
          <w:i/>
          <w:color w:val="000000"/>
        </w:rPr>
        <w:t>Adversus haereses</w:t>
      </w:r>
      <w:r>
        <w:rPr>
          <w:color w:val="000000"/>
        </w:rPr>
        <w:t xml:space="preserve"> I, 14: </w:t>
      </w:r>
      <w:r>
        <w:rPr>
          <w:smallCaps/>
          <w:color w:val="000000"/>
        </w:rPr>
        <w:t>Ireneo</w:t>
      </w:r>
      <w:r>
        <w:rPr>
          <w:color w:val="000000"/>
        </w:rPr>
        <w:t xml:space="preserve">, </w:t>
      </w:r>
      <w:r>
        <w:rPr>
          <w:i/>
          <w:color w:val="000000"/>
        </w:rPr>
        <w:t>Contro le eresie e gli altri scritti</w:t>
      </w:r>
      <w:r>
        <w:rPr>
          <w:color w:val="000000"/>
        </w:rPr>
        <w:t xml:space="preserve">, a cura di E. </w:t>
      </w:r>
      <w:r>
        <w:rPr>
          <w:smallCaps/>
          <w:color w:val="000000"/>
        </w:rPr>
        <w:t>Bellini</w:t>
      </w:r>
      <w:r>
        <w:rPr>
          <w:color w:val="000000"/>
        </w:rPr>
        <w:t>, Jaca Book, Milano 1981, 81-82.</w:t>
      </w:r>
    </w:p>
    <w:p w:rsidR="00F8547E" w:rsidRDefault="00F8547E">
      <w:pPr>
        <w:spacing w:line="228" w:lineRule="auto"/>
      </w:pPr>
    </w:p>
    <w:p w:rsidR="00F8547E" w:rsidRDefault="00640112">
      <w:pPr>
        <w:spacing w:line="228" w:lineRule="auto"/>
      </w:pPr>
      <w:r>
        <w:t>11.14. Citazione di fonti magisteriali</w:t>
      </w:r>
    </w:p>
    <w:p w:rsidR="00F8547E" w:rsidRDefault="00640112">
      <w:pPr>
        <w:spacing w:line="228" w:lineRule="auto"/>
      </w:pPr>
      <w:r>
        <w:rPr>
          <w:noProof/>
          <w:lang w:eastAsia="it-IT"/>
        </w:rPr>
        <w:drawing>
          <wp:inline distT="0" distB="0" distL="0" distR="0">
            <wp:extent cx="5642610" cy="37833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10204"/>
                    <a:stretch>
                      <a:fillRect/>
                    </a:stretch>
                  </pic:blipFill>
                  <pic:spPr>
                    <a:xfrm>
                      <a:off x="0" y="0"/>
                      <a:ext cx="5642610" cy="3783320"/>
                    </a:xfrm>
                    <a:prstGeom prst="rect">
                      <a:avLst/>
                    </a:prstGeom>
                    <a:ln/>
                  </pic:spPr>
                </pic:pic>
              </a:graphicData>
            </a:graphic>
          </wp:inline>
        </w:drawing>
      </w:r>
    </w:p>
    <w:p w:rsidR="00F8547E" w:rsidRDefault="00640112">
      <w:pPr>
        <w:spacing w:after="0" w:line="259" w:lineRule="auto"/>
        <w:jc w:val="left"/>
      </w:pPr>
      <w:r>
        <w:t xml:space="preserve"> 12. Numero di pagina </w:t>
      </w:r>
    </w:p>
    <w:p w:rsidR="00F8547E" w:rsidRDefault="00640112">
      <w:r>
        <w:t xml:space="preserve">Può essere posizionato in basso a destra, con carattere 12, Times New Roman. Occorre ricordare che il numero di pagina non deve comparire nella prima pagina di ogni capitolo e nel frontespizio. </w:t>
      </w:r>
    </w:p>
    <w:sectPr w:rsidR="00F8547E" w:rsidSect="002F2C20">
      <w:footerReference w:type="even" r:id="rId8"/>
      <w:footerReference w:type="default" r:id="rId9"/>
      <w:footerReference w:type="first" r:id="rId10"/>
      <w:pgSz w:w="11900" w:h="16840"/>
      <w:pgMar w:top="1408" w:right="1313" w:bottom="1458" w:left="1701" w:header="720" w:footer="72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B17" w:rsidRDefault="00776B17">
      <w:pPr>
        <w:spacing w:after="0" w:line="240" w:lineRule="auto"/>
      </w:pPr>
      <w:r>
        <w:separator/>
      </w:r>
    </w:p>
  </w:endnote>
  <w:endnote w:type="continuationSeparator" w:id="1">
    <w:p w:rsidR="00776B17" w:rsidRDefault="00776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Noto Sans Symbols">
    <w:altName w:val="Segoe UI Symbol"/>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San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47E" w:rsidRDefault="00640112">
    <w:pPr>
      <w:tabs>
        <w:tab w:val="center" w:pos="4440"/>
      </w:tabs>
      <w:spacing w:after="0" w:line="259" w:lineRule="auto"/>
      <w:ind w:left="0"/>
      <w:jc w:val="left"/>
    </w:pPr>
    <w:r>
      <w:rPr>
        <w:rFonts w:ascii="Times New Roman" w:eastAsia="Times New Roman" w:hAnsi="Times New Roman" w:cs="Times New Roman"/>
      </w:rPr>
      <w:tab/>
    </w:r>
    <w:r w:rsidR="002F2C20">
      <w:fldChar w:fldCharType="begin"/>
    </w:r>
    <w:r>
      <w:instrText>PAGE</w:instrText>
    </w:r>
    <w:r w:rsidR="002F2C20">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47E" w:rsidRDefault="00640112">
    <w:pPr>
      <w:tabs>
        <w:tab w:val="center" w:pos="4440"/>
      </w:tabs>
      <w:spacing w:after="0" w:line="259" w:lineRule="auto"/>
      <w:ind w:left="0"/>
      <w:jc w:val="left"/>
    </w:pPr>
    <w:r>
      <w:rPr>
        <w:rFonts w:ascii="Times New Roman" w:eastAsia="Times New Roman" w:hAnsi="Times New Roman" w:cs="Times New Roman"/>
      </w:rPr>
      <w:tab/>
    </w:r>
    <w:r w:rsidR="002F2C20">
      <w:fldChar w:fldCharType="begin"/>
    </w:r>
    <w:r>
      <w:instrText>PAGE</w:instrText>
    </w:r>
    <w:r w:rsidR="002F2C20">
      <w:fldChar w:fldCharType="separate"/>
    </w:r>
    <w:r w:rsidR="005A3776">
      <w:rPr>
        <w:noProof/>
      </w:rPr>
      <w:t>1</w:t>
    </w:r>
    <w:r w:rsidR="002F2C20">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47E" w:rsidRDefault="00640112">
    <w:pPr>
      <w:tabs>
        <w:tab w:val="center" w:pos="4440"/>
      </w:tabs>
      <w:spacing w:after="0" w:line="259" w:lineRule="auto"/>
      <w:ind w:left="0"/>
      <w:jc w:val="left"/>
    </w:pPr>
    <w:r>
      <w:rPr>
        <w:rFonts w:ascii="Times New Roman" w:eastAsia="Times New Roman" w:hAnsi="Times New Roman" w:cs="Times New Roman"/>
      </w:rPr>
      <w:tab/>
    </w:r>
    <w:r w:rsidR="002F2C20">
      <w:fldChar w:fldCharType="begin"/>
    </w:r>
    <w:r>
      <w:instrText>PAGE</w:instrText>
    </w:r>
    <w:r w:rsidR="002F2C2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B17" w:rsidRDefault="00776B17">
      <w:pPr>
        <w:spacing w:after="0" w:line="240" w:lineRule="auto"/>
      </w:pPr>
      <w:r>
        <w:separator/>
      </w:r>
    </w:p>
  </w:footnote>
  <w:footnote w:type="continuationSeparator" w:id="1">
    <w:p w:rsidR="00776B17" w:rsidRDefault="00776B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D94"/>
    <w:multiLevelType w:val="multilevel"/>
    <w:tmpl w:val="FFFFFFFF"/>
    <w:lvl w:ilvl="0">
      <w:start w:val="1"/>
      <w:numFmt w:val="lowerLetter"/>
      <w:lvlText w:val="%1)"/>
      <w:lvlJc w:val="left"/>
      <w:pPr>
        <w:ind w:left="720" w:hanging="720"/>
      </w:pPr>
      <w:rPr>
        <w:rFonts w:ascii="Garamond" w:eastAsia="Garamond" w:hAnsi="Garamond" w:cs="Garamond"/>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Garamond" w:eastAsia="Garamond" w:hAnsi="Garamond" w:cs="Garamond"/>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Garamond" w:eastAsia="Garamond" w:hAnsi="Garamond" w:cs="Garamond"/>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Garamond" w:eastAsia="Garamond" w:hAnsi="Garamond" w:cs="Garamond"/>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Garamond" w:eastAsia="Garamond" w:hAnsi="Garamond" w:cs="Garamond"/>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Garamond" w:eastAsia="Garamond" w:hAnsi="Garamond" w:cs="Garamond"/>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Garamond" w:eastAsia="Garamond" w:hAnsi="Garamond" w:cs="Garamond"/>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Garamond" w:eastAsia="Garamond" w:hAnsi="Garamond" w:cs="Garamond"/>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Garamond" w:eastAsia="Garamond" w:hAnsi="Garamond" w:cs="Garamond"/>
        <w:b w:val="0"/>
        <w:i w:val="0"/>
        <w:strike w:val="0"/>
        <w:color w:val="000000"/>
        <w:sz w:val="24"/>
        <w:szCs w:val="24"/>
        <w:u w:val="none"/>
        <w:shd w:val="clear" w:color="auto" w:fill="auto"/>
        <w:vertAlign w:val="baseline"/>
      </w:rPr>
    </w:lvl>
  </w:abstractNum>
  <w:abstractNum w:abstractNumId="1">
    <w:nsid w:val="098C62BC"/>
    <w:multiLevelType w:val="multilevel"/>
    <w:tmpl w:val="FFFFFFFF"/>
    <w:lvl w:ilvl="0">
      <w:start w:val="1"/>
      <w:numFmt w:val="bullet"/>
      <w:lvlText w:val="-"/>
      <w:lvlJc w:val="left"/>
      <w:pPr>
        <w:ind w:left="708" w:hanging="708"/>
      </w:pPr>
      <w:rPr>
        <w:rFonts w:ascii="Garamond" w:eastAsia="Garamond" w:hAnsi="Garamond" w:cs="Garamond"/>
        <w:b w:val="0"/>
        <w:i w:val="0"/>
        <w:strike w:val="0"/>
        <w:color w:val="000000"/>
        <w:sz w:val="24"/>
        <w:szCs w:val="24"/>
        <w:u w:val="none"/>
        <w:shd w:val="clear" w:color="auto" w:fill="auto"/>
        <w:vertAlign w:val="baseline"/>
      </w:rPr>
    </w:lvl>
    <w:lvl w:ilvl="1">
      <w:start w:val="1"/>
      <w:numFmt w:val="bullet"/>
      <w:lvlText w:val="o"/>
      <w:lvlJc w:val="left"/>
      <w:pPr>
        <w:ind w:left="1363" w:hanging="1363"/>
      </w:pPr>
      <w:rPr>
        <w:rFonts w:ascii="Garamond" w:eastAsia="Garamond" w:hAnsi="Garamond" w:cs="Garamond"/>
        <w:b w:val="0"/>
        <w:i w:val="0"/>
        <w:strike w:val="0"/>
        <w:color w:val="000000"/>
        <w:sz w:val="24"/>
        <w:szCs w:val="24"/>
        <w:u w:val="none"/>
        <w:shd w:val="clear" w:color="auto" w:fill="auto"/>
        <w:vertAlign w:val="baseline"/>
      </w:rPr>
    </w:lvl>
    <w:lvl w:ilvl="2">
      <w:start w:val="1"/>
      <w:numFmt w:val="bullet"/>
      <w:lvlText w:val="▪"/>
      <w:lvlJc w:val="left"/>
      <w:pPr>
        <w:ind w:left="2083" w:hanging="2083"/>
      </w:pPr>
      <w:rPr>
        <w:rFonts w:ascii="Garamond" w:eastAsia="Garamond" w:hAnsi="Garamond" w:cs="Garamond"/>
        <w:b w:val="0"/>
        <w:i w:val="0"/>
        <w:strike w:val="0"/>
        <w:color w:val="000000"/>
        <w:sz w:val="24"/>
        <w:szCs w:val="24"/>
        <w:u w:val="none"/>
        <w:shd w:val="clear" w:color="auto" w:fill="auto"/>
        <w:vertAlign w:val="baseline"/>
      </w:rPr>
    </w:lvl>
    <w:lvl w:ilvl="3">
      <w:start w:val="1"/>
      <w:numFmt w:val="bullet"/>
      <w:lvlText w:val="•"/>
      <w:lvlJc w:val="left"/>
      <w:pPr>
        <w:ind w:left="2803" w:hanging="2803"/>
      </w:pPr>
      <w:rPr>
        <w:rFonts w:ascii="Garamond" w:eastAsia="Garamond" w:hAnsi="Garamond" w:cs="Garamond"/>
        <w:b w:val="0"/>
        <w:i w:val="0"/>
        <w:strike w:val="0"/>
        <w:color w:val="000000"/>
        <w:sz w:val="24"/>
        <w:szCs w:val="24"/>
        <w:u w:val="none"/>
        <w:shd w:val="clear" w:color="auto" w:fill="auto"/>
        <w:vertAlign w:val="baseline"/>
      </w:rPr>
    </w:lvl>
    <w:lvl w:ilvl="4">
      <w:start w:val="1"/>
      <w:numFmt w:val="bullet"/>
      <w:lvlText w:val="o"/>
      <w:lvlJc w:val="left"/>
      <w:pPr>
        <w:ind w:left="3523" w:hanging="3523"/>
      </w:pPr>
      <w:rPr>
        <w:rFonts w:ascii="Garamond" w:eastAsia="Garamond" w:hAnsi="Garamond" w:cs="Garamond"/>
        <w:b w:val="0"/>
        <w:i w:val="0"/>
        <w:strike w:val="0"/>
        <w:color w:val="000000"/>
        <w:sz w:val="24"/>
        <w:szCs w:val="24"/>
        <w:u w:val="none"/>
        <w:shd w:val="clear" w:color="auto" w:fill="auto"/>
        <w:vertAlign w:val="baseline"/>
      </w:rPr>
    </w:lvl>
    <w:lvl w:ilvl="5">
      <w:start w:val="1"/>
      <w:numFmt w:val="bullet"/>
      <w:lvlText w:val="▪"/>
      <w:lvlJc w:val="left"/>
      <w:pPr>
        <w:ind w:left="4243" w:hanging="4243"/>
      </w:pPr>
      <w:rPr>
        <w:rFonts w:ascii="Garamond" w:eastAsia="Garamond" w:hAnsi="Garamond" w:cs="Garamond"/>
        <w:b w:val="0"/>
        <w:i w:val="0"/>
        <w:strike w:val="0"/>
        <w:color w:val="000000"/>
        <w:sz w:val="24"/>
        <w:szCs w:val="24"/>
        <w:u w:val="none"/>
        <w:shd w:val="clear" w:color="auto" w:fill="auto"/>
        <w:vertAlign w:val="baseline"/>
      </w:rPr>
    </w:lvl>
    <w:lvl w:ilvl="6">
      <w:start w:val="1"/>
      <w:numFmt w:val="bullet"/>
      <w:lvlText w:val="•"/>
      <w:lvlJc w:val="left"/>
      <w:pPr>
        <w:ind w:left="4963" w:hanging="4963"/>
      </w:pPr>
      <w:rPr>
        <w:rFonts w:ascii="Garamond" w:eastAsia="Garamond" w:hAnsi="Garamond" w:cs="Garamond"/>
        <w:b w:val="0"/>
        <w:i w:val="0"/>
        <w:strike w:val="0"/>
        <w:color w:val="000000"/>
        <w:sz w:val="24"/>
        <w:szCs w:val="24"/>
        <w:u w:val="none"/>
        <w:shd w:val="clear" w:color="auto" w:fill="auto"/>
        <w:vertAlign w:val="baseline"/>
      </w:rPr>
    </w:lvl>
    <w:lvl w:ilvl="7">
      <w:start w:val="1"/>
      <w:numFmt w:val="bullet"/>
      <w:lvlText w:val="o"/>
      <w:lvlJc w:val="left"/>
      <w:pPr>
        <w:ind w:left="5683" w:hanging="5683"/>
      </w:pPr>
      <w:rPr>
        <w:rFonts w:ascii="Garamond" w:eastAsia="Garamond" w:hAnsi="Garamond" w:cs="Garamond"/>
        <w:b w:val="0"/>
        <w:i w:val="0"/>
        <w:strike w:val="0"/>
        <w:color w:val="000000"/>
        <w:sz w:val="24"/>
        <w:szCs w:val="24"/>
        <w:u w:val="none"/>
        <w:shd w:val="clear" w:color="auto" w:fill="auto"/>
        <w:vertAlign w:val="baseline"/>
      </w:rPr>
    </w:lvl>
    <w:lvl w:ilvl="8">
      <w:start w:val="1"/>
      <w:numFmt w:val="bullet"/>
      <w:lvlText w:val="▪"/>
      <w:lvlJc w:val="left"/>
      <w:pPr>
        <w:ind w:left="6403" w:hanging="6403"/>
      </w:pPr>
      <w:rPr>
        <w:rFonts w:ascii="Garamond" w:eastAsia="Garamond" w:hAnsi="Garamond" w:cs="Garamond"/>
        <w:b w:val="0"/>
        <w:i w:val="0"/>
        <w:strike w:val="0"/>
        <w:color w:val="000000"/>
        <w:sz w:val="24"/>
        <w:szCs w:val="24"/>
        <w:u w:val="none"/>
        <w:shd w:val="clear" w:color="auto" w:fill="auto"/>
        <w:vertAlign w:val="baseline"/>
      </w:rPr>
    </w:lvl>
  </w:abstractNum>
  <w:abstractNum w:abstractNumId="2">
    <w:nsid w:val="102B0665"/>
    <w:multiLevelType w:val="multilevel"/>
    <w:tmpl w:val="FFFFFFFF"/>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nsid w:val="1217351C"/>
    <w:multiLevelType w:val="multilevel"/>
    <w:tmpl w:val="FFFFFFFF"/>
    <w:lvl w:ilvl="0">
      <w:start w:val="1"/>
      <w:numFmt w:val="bullet"/>
      <w:lvlText w:val="-"/>
      <w:lvlJc w:val="left"/>
      <w:pPr>
        <w:ind w:left="847" w:hanging="847"/>
      </w:pPr>
      <w:rPr>
        <w:rFonts w:ascii="Garamond" w:eastAsia="Garamond" w:hAnsi="Garamond" w:cs="Garamond"/>
        <w:b w:val="0"/>
        <w:i w:val="0"/>
        <w:strike w:val="0"/>
        <w:color w:val="000000"/>
        <w:sz w:val="24"/>
        <w:szCs w:val="24"/>
        <w:u w:val="none"/>
        <w:shd w:val="clear" w:color="auto" w:fill="auto"/>
        <w:vertAlign w:val="baseline"/>
      </w:rPr>
    </w:lvl>
    <w:lvl w:ilvl="1">
      <w:start w:val="1"/>
      <w:numFmt w:val="bullet"/>
      <w:lvlText w:val="o"/>
      <w:lvlJc w:val="left"/>
      <w:pPr>
        <w:ind w:left="1507" w:hanging="1507"/>
      </w:pPr>
      <w:rPr>
        <w:rFonts w:ascii="Garamond" w:eastAsia="Garamond" w:hAnsi="Garamond" w:cs="Garamond"/>
        <w:b w:val="0"/>
        <w:i w:val="0"/>
        <w:strike w:val="0"/>
        <w:color w:val="000000"/>
        <w:sz w:val="24"/>
        <w:szCs w:val="24"/>
        <w:u w:val="none"/>
        <w:shd w:val="clear" w:color="auto" w:fill="auto"/>
        <w:vertAlign w:val="baseline"/>
      </w:rPr>
    </w:lvl>
    <w:lvl w:ilvl="2">
      <w:start w:val="1"/>
      <w:numFmt w:val="bullet"/>
      <w:lvlText w:val="▪"/>
      <w:lvlJc w:val="left"/>
      <w:pPr>
        <w:ind w:left="2227" w:hanging="2227"/>
      </w:pPr>
      <w:rPr>
        <w:rFonts w:ascii="Garamond" w:eastAsia="Garamond" w:hAnsi="Garamond" w:cs="Garamond"/>
        <w:b w:val="0"/>
        <w:i w:val="0"/>
        <w:strike w:val="0"/>
        <w:color w:val="000000"/>
        <w:sz w:val="24"/>
        <w:szCs w:val="24"/>
        <w:u w:val="none"/>
        <w:shd w:val="clear" w:color="auto" w:fill="auto"/>
        <w:vertAlign w:val="baseline"/>
      </w:rPr>
    </w:lvl>
    <w:lvl w:ilvl="3">
      <w:start w:val="1"/>
      <w:numFmt w:val="bullet"/>
      <w:lvlText w:val="•"/>
      <w:lvlJc w:val="left"/>
      <w:pPr>
        <w:ind w:left="2947" w:hanging="2947"/>
      </w:pPr>
      <w:rPr>
        <w:rFonts w:ascii="Garamond" w:eastAsia="Garamond" w:hAnsi="Garamond" w:cs="Garamond"/>
        <w:b w:val="0"/>
        <w:i w:val="0"/>
        <w:strike w:val="0"/>
        <w:color w:val="000000"/>
        <w:sz w:val="24"/>
        <w:szCs w:val="24"/>
        <w:u w:val="none"/>
        <w:shd w:val="clear" w:color="auto" w:fill="auto"/>
        <w:vertAlign w:val="baseline"/>
      </w:rPr>
    </w:lvl>
    <w:lvl w:ilvl="4">
      <w:start w:val="1"/>
      <w:numFmt w:val="bullet"/>
      <w:lvlText w:val="o"/>
      <w:lvlJc w:val="left"/>
      <w:pPr>
        <w:ind w:left="3667" w:hanging="3667"/>
      </w:pPr>
      <w:rPr>
        <w:rFonts w:ascii="Garamond" w:eastAsia="Garamond" w:hAnsi="Garamond" w:cs="Garamond"/>
        <w:b w:val="0"/>
        <w:i w:val="0"/>
        <w:strike w:val="0"/>
        <w:color w:val="000000"/>
        <w:sz w:val="24"/>
        <w:szCs w:val="24"/>
        <w:u w:val="none"/>
        <w:shd w:val="clear" w:color="auto" w:fill="auto"/>
        <w:vertAlign w:val="baseline"/>
      </w:rPr>
    </w:lvl>
    <w:lvl w:ilvl="5">
      <w:start w:val="1"/>
      <w:numFmt w:val="bullet"/>
      <w:lvlText w:val="▪"/>
      <w:lvlJc w:val="left"/>
      <w:pPr>
        <w:ind w:left="4387" w:hanging="4387"/>
      </w:pPr>
      <w:rPr>
        <w:rFonts w:ascii="Garamond" w:eastAsia="Garamond" w:hAnsi="Garamond" w:cs="Garamond"/>
        <w:b w:val="0"/>
        <w:i w:val="0"/>
        <w:strike w:val="0"/>
        <w:color w:val="000000"/>
        <w:sz w:val="24"/>
        <w:szCs w:val="24"/>
        <w:u w:val="none"/>
        <w:shd w:val="clear" w:color="auto" w:fill="auto"/>
        <w:vertAlign w:val="baseline"/>
      </w:rPr>
    </w:lvl>
    <w:lvl w:ilvl="6">
      <w:start w:val="1"/>
      <w:numFmt w:val="bullet"/>
      <w:lvlText w:val="•"/>
      <w:lvlJc w:val="left"/>
      <w:pPr>
        <w:ind w:left="5107" w:hanging="5107"/>
      </w:pPr>
      <w:rPr>
        <w:rFonts w:ascii="Garamond" w:eastAsia="Garamond" w:hAnsi="Garamond" w:cs="Garamond"/>
        <w:b w:val="0"/>
        <w:i w:val="0"/>
        <w:strike w:val="0"/>
        <w:color w:val="000000"/>
        <w:sz w:val="24"/>
        <w:szCs w:val="24"/>
        <w:u w:val="none"/>
        <w:shd w:val="clear" w:color="auto" w:fill="auto"/>
        <w:vertAlign w:val="baseline"/>
      </w:rPr>
    </w:lvl>
    <w:lvl w:ilvl="7">
      <w:start w:val="1"/>
      <w:numFmt w:val="bullet"/>
      <w:lvlText w:val="o"/>
      <w:lvlJc w:val="left"/>
      <w:pPr>
        <w:ind w:left="5827" w:hanging="5827"/>
      </w:pPr>
      <w:rPr>
        <w:rFonts w:ascii="Garamond" w:eastAsia="Garamond" w:hAnsi="Garamond" w:cs="Garamond"/>
        <w:b w:val="0"/>
        <w:i w:val="0"/>
        <w:strike w:val="0"/>
        <w:color w:val="000000"/>
        <w:sz w:val="24"/>
        <w:szCs w:val="24"/>
        <w:u w:val="none"/>
        <w:shd w:val="clear" w:color="auto" w:fill="auto"/>
        <w:vertAlign w:val="baseline"/>
      </w:rPr>
    </w:lvl>
    <w:lvl w:ilvl="8">
      <w:start w:val="1"/>
      <w:numFmt w:val="bullet"/>
      <w:lvlText w:val="▪"/>
      <w:lvlJc w:val="left"/>
      <w:pPr>
        <w:ind w:left="6547" w:hanging="6547"/>
      </w:pPr>
      <w:rPr>
        <w:rFonts w:ascii="Garamond" w:eastAsia="Garamond" w:hAnsi="Garamond" w:cs="Garamond"/>
        <w:b w:val="0"/>
        <w:i w:val="0"/>
        <w:strike w:val="0"/>
        <w:color w:val="000000"/>
        <w:sz w:val="24"/>
        <w:szCs w:val="24"/>
        <w:u w:val="none"/>
        <w:shd w:val="clear" w:color="auto" w:fill="auto"/>
        <w:vertAlign w:val="baseline"/>
      </w:rPr>
    </w:lvl>
  </w:abstractNum>
  <w:abstractNum w:abstractNumId="4">
    <w:nsid w:val="3F93327C"/>
    <w:multiLevelType w:val="multilevel"/>
    <w:tmpl w:val="FFFFFFFF"/>
    <w:lvl w:ilvl="0">
      <w:start w:val="5"/>
      <w:numFmt w:val="upperLetter"/>
      <w:lvlText w:val="%1."/>
      <w:lvlJc w:val="left"/>
      <w:pPr>
        <w:ind w:left="1135" w:hanging="1135"/>
      </w:pPr>
      <w:rPr>
        <w:rFonts w:ascii="Garamond" w:eastAsia="Garamond" w:hAnsi="Garamond" w:cs="Garamond"/>
        <w:b w:val="0"/>
        <w:i w:val="0"/>
        <w:strike w:val="0"/>
        <w:color w:val="000000"/>
        <w:sz w:val="22"/>
        <w:szCs w:val="22"/>
        <w:u w:val="none"/>
        <w:shd w:val="clear" w:color="auto" w:fill="auto"/>
        <w:vertAlign w:val="baseline"/>
      </w:rPr>
    </w:lvl>
    <w:lvl w:ilvl="1">
      <w:start w:val="1"/>
      <w:numFmt w:val="lowerLetter"/>
      <w:lvlText w:val="%2"/>
      <w:lvlJc w:val="left"/>
      <w:pPr>
        <w:ind w:left="1649" w:hanging="1649"/>
      </w:pPr>
      <w:rPr>
        <w:rFonts w:ascii="Garamond" w:eastAsia="Garamond" w:hAnsi="Garamond" w:cs="Garamond"/>
        <w:b w:val="0"/>
        <w:i w:val="0"/>
        <w:strike w:val="0"/>
        <w:color w:val="000000"/>
        <w:sz w:val="22"/>
        <w:szCs w:val="22"/>
        <w:u w:val="none"/>
        <w:shd w:val="clear" w:color="auto" w:fill="auto"/>
        <w:vertAlign w:val="baseline"/>
      </w:rPr>
    </w:lvl>
    <w:lvl w:ilvl="2">
      <w:start w:val="1"/>
      <w:numFmt w:val="lowerRoman"/>
      <w:lvlText w:val="%3"/>
      <w:lvlJc w:val="left"/>
      <w:pPr>
        <w:ind w:left="2369" w:hanging="2369"/>
      </w:pPr>
      <w:rPr>
        <w:rFonts w:ascii="Garamond" w:eastAsia="Garamond" w:hAnsi="Garamond" w:cs="Garamond"/>
        <w:b w:val="0"/>
        <w:i w:val="0"/>
        <w:strike w:val="0"/>
        <w:color w:val="000000"/>
        <w:sz w:val="22"/>
        <w:szCs w:val="22"/>
        <w:u w:val="none"/>
        <w:shd w:val="clear" w:color="auto" w:fill="auto"/>
        <w:vertAlign w:val="baseline"/>
      </w:rPr>
    </w:lvl>
    <w:lvl w:ilvl="3">
      <w:start w:val="1"/>
      <w:numFmt w:val="decimal"/>
      <w:lvlText w:val="%4"/>
      <w:lvlJc w:val="left"/>
      <w:pPr>
        <w:ind w:left="3089" w:hanging="3089"/>
      </w:pPr>
      <w:rPr>
        <w:rFonts w:ascii="Garamond" w:eastAsia="Garamond" w:hAnsi="Garamond" w:cs="Garamond"/>
        <w:b w:val="0"/>
        <w:i w:val="0"/>
        <w:strike w:val="0"/>
        <w:color w:val="000000"/>
        <w:sz w:val="22"/>
        <w:szCs w:val="22"/>
        <w:u w:val="none"/>
        <w:shd w:val="clear" w:color="auto" w:fill="auto"/>
        <w:vertAlign w:val="baseline"/>
      </w:rPr>
    </w:lvl>
    <w:lvl w:ilvl="4">
      <w:start w:val="1"/>
      <w:numFmt w:val="lowerLetter"/>
      <w:lvlText w:val="%5"/>
      <w:lvlJc w:val="left"/>
      <w:pPr>
        <w:ind w:left="3809" w:hanging="3809"/>
      </w:pPr>
      <w:rPr>
        <w:rFonts w:ascii="Garamond" w:eastAsia="Garamond" w:hAnsi="Garamond" w:cs="Garamond"/>
        <w:b w:val="0"/>
        <w:i w:val="0"/>
        <w:strike w:val="0"/>
        <w:color w:val="000000"/>
        <w:sz w:val="22"/>
        <w:szCs w:val="22"/>
        <w:u w:val="none"/>
        <w:shd w:val="clear" w:color="auto" w:fill="auto"/>
        <w:vertAlign w:val="baseline"/>
      </w:rPr>
    </w:lvl>
    <w:lvl w:ilvl="5">
      <w:start w:val="1"/>
      <w:numFmt w:val="lowerRoman"/>
      <w:lvlText w:val="%6"/>
      <w:lvlJc w:val="left"/>
      <w:pPr>
        <w:ind w:left="4529" w:hanging="4529"/>
      </w:pPr>
      <w:rPr>
        <w:rFonts w:ascii="Garamond" w:eastAsia="Garamond" w:hAnsi="Garamond" w:cs="Garamond"/>
        <w:b w:val="0"/>
        <w:i w:val="0"/>
        <w:strike w:val="0"/>
        <w:color w:val="000000"/>
        <w:sz w:val="22"/>
        <w:szCs w:val="22"/>
        <w:u w:val="none"/>
        <w:shd w:val="clear" w:color="auto" w:fill="auto"/>
        <w:vertAlign w:val="baseline"/>
      </w:rPr>
    </w:lvl>
    <w:lvl w:ilvl="6">
      <w:start w:val="1"/>
      <w:numFmt w:val="decimal"/>
      <w:lvlText w:val="%7"/>
      <w:lvlJc w:val="left"/>
      <w:pPr>
        <w:ind w:left="5249" w:hanging="5249"/>
      </w:pPr>
      <w:rPr>
        <w:rFonts w:ascii="Garamond" w:eastAsia="Garamond" w:hAnsi="Garamond" w:cs="Garamond"/>
        <w:b w:val="0"/>
        <w:i w:val="0"/>
        <w:strike w:val="0"/>
        <w:color w:val="000000"/>
        <w:sz w:val="22"/>
        <w:szCs w:val="22"/>
        <w:u w:val="none"/>
        <w:shd w:val="clear" w:color="auto" w:fill="auto"/>
        <w:vertAlign w:val="baseline"/>
      </w:rPr>
    </w:lvl>
    <w:lvl w:ilvl="7">
      <w:start w:val="1"/>
      <w:numFmt w:val="lowerLetter"/>
      <w:lvlText w:val="%8"/>
      <w:lvlJc w:val="left"/>
      <w:pPr>
        <w:ind w:left="5969" w:hanging="5969"/>
      </w:pPr>
      <w:rPr>
        <w:rFonts w:ascii="Garamond" w:eastAsia="Garamond" w:hAnsi="Garamond" w:cs="Garamond"/>
        <w:b w:val="0"/>
        <w:i w:val="0"/>
        <w:strike w:val="0"/>
        <w:color w:val="000000"/>
        <w:sz w:val="22"/>
        <w:szCs w:val="22"/>
        <w:u w:val="none"/>
        <w:shd w:val="clear" w:color="auto" w:fill="auto"/>
        <w:vertAlign w:val="baseline"/>
      </w:rPr>
    </w:lvl>
    <w:lvl w:ilvl="8">
      <w:start w:val="1"/>
      <w:numFmt w:val="lowerRoman"/>
      <w:lvlText w:val="%9"/>
      <w:lvlJc w:val="left"/>
      <w:pPr>
        <w:ind w:left="6689" w:hanging="6689"/>
      </w:pPr>
      <w:rPr>
        <w:rFonts w:ascii="Garamond" w:eastAsia="Garamond" w:hAnsi="Garamond" w:cs="Garamond"/>
        <w:b w:val="0"/>
        <w:i w:val="0"/>
        <w:strike w:val="0"/>
        <w:color w:val="000000"/>
        <w:sz w:val="22"/>
        <w:szCs w:val="22"/>
        <w:u w:val="none"/>
        <w:shd w:val="clear" w:color="auto" w:fill="auto"/>
        <w:vertAlign w:val="baseline"/>
      </w:rPr>
    </w:lvl>
  </w:abstractNum>
  <w:abstractNum w:abstractNumId="5">
    <w:nsid w:val="75290572"/>
    <w:multiLevelType w:val="multilevel"/>
    <w:tmpl w:val="FFFFFFFF"/>
    <w:lvl w:ilvl="0">
      <w:start w:val="1"/>
      <w:numFmt w:val="decimal"/>
      <w:lvlText w:val="%1"/>
      <w:lvlJc w:val="left"/>
      <w:pPr>
        <w:ind w:left="360" w:hanging="360"/>
      </w:pPr>
      <w:rPr>
        <w:rFonts w:ascii="Garamond" w:eastAsia="Garamond" w:hAnsi="Garamond" w:cs="Garamond"/>
        <w:b w:val="0"/>
        <w:i w:val="0"/>
        <w:strike w:val="0"/>
        <w:color w:val="000000"/>
        <w:sz w:val="24"/>
        <w:szCs w:val="24"/>
        <w:u w:val="none"/>
        <w:shd w:val="clear" w:color="auto" w:fill="auto"/>
        <w:vertAlign w:val="baseline"/>
      </w:rPr>
    </w:lvl>
    <w:lvl w:ilvl="1">
      <w:start w:val="4"/>
      <w:numFmt w:val="lowerLetter"/>
      <w:lvlText w:val="%2)"/>
      <w:lvlJc w:val="left"/>
      <w:pPr>
        <w:ind w:left="533" w:hanging="533"/>
      </w:pPr>
      <w:rPr>
        <w:rFonts w:ascii="Garamond" w:eastAsia="Garamond" w:hAnsi="Garamond" w:cs="Garamond"/>
        <w:b w:val="0"/>
        <w:i w:val="0"/>
        <w:strike w:val="0"/>
        <w:color w:val="000000"/>
        <w:sz w:val="24"/>
        <w:szCs w:val="24"/>
        <w:u w:val="none"/>
        <w:shd w:val="clear" w:color="auto" w:fill="auto"/>
        <w:vertAlign w:val="baseline"/>
      </w:rPr>
    </w:lvl>
    <w:lvl w:ilvl="2">
      <w:start w:val="1"/>
      <w:numFmt w:val="lowerRoman"/>
      <w:lvlText w:val="%3"/>
      <w:lvlJc w:val="left"/>
      <w:pPr>
        <w:ind w:left="1363" w:hanging="1363"/>
      </w:pPr>
      <w:rPr>
        <w:rFonts w:ascii="Garamond" w:eastAsia="Garamond" w:hAnsi="Garamond" w:cs="Garamond"/>
        <w:b w:val="0"/>
        <w:i w:val="0"/>
        <w:strike w:val="0"/>
        <w:color w:val="000000"/>
        <w:sz w:val="24"/>
        <w:szCs w:val="24"/>
        <w:u w:val="none"/>
        <w:shd w:val="clear" w:color="auto" w:fill="auto"/>
        <w:vertAlign w:val="baseline"/>
      </w:rPr>
    </w:lvl>
    <w:lvl w:ilvl="3">
      <w:start w:val="1"/>
      <w:numFmt w:val="decimal"/>
      <w:lvlText w:val="%4"/>
      <w:lvlJc w:val="left"/>
      <w:pPr>
        <w:ind w:left="2083" w:hanging="2083"/>
      </w:pPr>
      <w:rPr>
        <w:rFonts w:ascii="Garamond" w:eastAsia="Garamond" w:hAnsi="Garamond" w:cs="Garamond"/>
        <w:b w:val="0"/>
        <w:i w:val="0"/>
        <w:strike w:val="0"/>
        <w:color w:val="000000"/>
        <w:sz w:val="24"/>
        <w:szCs w:val="24"/>
        <w:u w:val="none"/>
        <w:shd w:val="clear" w:color="auto" w:fill="auto"/>
        <w:vertAlign w:val="baseline"/>
      </w:rPr>
    </w:lvl>
    <w:lvl w:ilvl="4">
      <w:start w:val="1"/>
      <w:numFmt w:val="lowerLetter"/>
      <w:lvlText w:val="%5"/>
      <w:lvlJc w:val="left"/>
      <w:pPr>
        <w:ind w:left="2803" w:hanging="2803"/>
      </w:pPr>
      <w:rPr>
        <w:rFonts w:ascii="Garamond" w:eastAsia="Garamond" w:hAnsi="Garamond" w:cs="Garamond"/>
        <w:b w:val="0"/>
        <w:i w:val="0"/>
        <w:strike w:val="0"/>
        <w:color w:val="000000"/>
        <w:sz w:val="24"/>
        <w:szCs w:val="24"/>
        <w:u w:val="none"/>
        <w:shd w:val="clear" w:color="auto" w:fill="auto"/>
        <w:vertAlign w:val="baseline"/>
      </w:rPr>
    </w:lvl>
    <w:lvl w:ilvl="5">
      <w:start w:val="1"/>
      <w:numFmt w:val="lowerRoman"/>
      <w:lvlText w:val="%6"/>
      <w:lvlJc w:val="left"/>
      <w:pPr>
        <w:ind w:left="3523" w:hanging="3523"/>
      </w:pPr>
      <w:rPr>
        <w:rFonts w:ascii="Garamond" w:eastAsia="Garamond" w:hAnsi="Garamond" w:cs="Garamond"/>
        <w:b w:val="0"/>
        <w:i w:val="0"/>
        <w:strike w:val="0"/>
        <w:color w:val="000000"/>
        <w:sz w:val="24"/>
        <w:szCs w:val="24"/>
        <w:u w:val="none"/>
        <w:shd w:val="clear" w:color="auto" w:fill="auto"/>
        <w:vertAlign w:val="baseline"/>
      </w:rPr>
    </w:lvl>
    <w:lvl w:ilvl="6">
      <w:start w:val="1"/>
      <w:numFmt w:val="decimal"/>
      <w:lvlText w:val="%7"/>
      <w:lvlJc w:val="left"/>
      <w:pPr>
        <w:ind w:left="4243" w:hanging="4243"/>
      </w:pPr>
      <w:rPr>
        <w:rFonts w:ascii="Garamond" w:eastAsia="Garamond" w:hAnsi="Garamond" w:cs="Garamond"/>
        <w:b w:val="0"/>
        <w:i w:val="0"/>
        <w:strike w:val="0"/>
        <w:color w:val="000000"/>
        <w:sz w:val="24"/>
        <w:szCs w:val="24"/>
        <w:u w:val="none"/>
        <w:shd w:val="clear" w:color="auto" w:fill="auto"/>
        <w:vertAlign w:val="baseline"/>
      </w:rPr>
    </w:lvl>
    <w:lvl w:ilvl="7">
      <w:start w:val="1"/>
      <w:numFmt w:val="lowerLetter"/>
      <w:lvlText w:val="%8"/>
      <w:lvlJc w:val="left"/>
      <w:pPr>
        <w:ind w:left="4963" w:hanging="4963"/>
      </w:pPr>
      <w:rPr>
        <w:rFonts w:ascii="Garamond" w:eastAsia="Garamond" w:hAnsi="Garamond" w:cs="Garamond"/>
        <w:b w:val="0"/>
        <w:i w:val="0"/>
        <w:strike w:val="0"/>
        <w:color w:val="000000"/>
        <w:sz w:val="24"/>
        <w:szCs w:val="24"/>
        <w:u w:val="none"/>
        <w:shd w:val="clear" w:color="auto" w:fill="auto"/>
        <w:vertAlign w:val="baseline"/>
      </w:rPr>
    </w:lvl>
    <w:lvl w:ilvl="8">
      <w:start w:val="1"/>
      <w:numFmt w:val="lowerRoman"/>
      <w:lvlText w:val="%9"/>
      <w:lvlJc w:val="left"/>
      <w:pPr>
        <w:ind w:left="5683" w:hanging="5683"/>
      </w:pPr>
      <w:rPr>
        <w:rFonts w:ascii="Garamond" w:eastAsia="Garamond" w:hAnsi="Garamond" w:cs="Garamond"/>
        <w:b w:val="0"/>
        <w:i w:val="0"/>
        <w:strike w:val="0"/>
        <w:color w:val="000000"/>
        <w:sz w:val="24"/>
        <w:szCs w:val="24"/>
        <w:u w:val="none"/>
        <w:shd w:val="clear" w:color="auto" w:fill="auto"/>
        <w:vertAlign w:val="baseline"/>
      </w:rPr>
    </w:lvl>
  </w:abstractNum>
  <w:abstractNum w:abstractNumId="6">
    <w:nsid w:val="786E5C80"/>
    <w:multiLevelType w:val="multilevel"/>
    <w:tmpl w:val="FFFFFFFF"/>
    <w:lvl w:ilvl="0">
      <w:start w:val="4"/>
      <w:numFmt w:val="decimal"/>
      <w:lvlText w:val="%1."/>
      <w:lvlJc w:val="left"/>
      <w:pPr>
        <w:ind w:left="235" w:hanging="235"/>
      </w:pPr>
      <w:rPr>
        <w:rFonts w:ascii="Garamond" w:eastAsia="Garamond" w:hAnsi="Garamond" w:cs="Garamond"/>
        <w:b/>
        <w:i w:val="0"/>
        <w:strike w:val="0"/>
        <w:color w:val="000000"/>
        <w:sz w:val="24"/>
        <w:szCs w:val="24"/>
        <w:u w:val="none"/>
        <w:shd w:val="clear" w:color="auto" w:fill="auto"/>
        <w:vertAlign w:val="baseline"/>
      </w:rPr>
    </w:lvl>
    <w:lvl w:ilvl="1">
      <w:start w:val="1"/>
      <w:numFmt w:val="lowerLetter"/>
      <w:lvlText w:val="%2)"/>
      <w:lvlJc w:val="left"/>
      <w:pPr>
        <w:ind w:left="535" w:hanging="535"/>
      </w:pPr>
      <w:rPr>
        <w:rFonts w:ascii="Garamond" w:eastAsia="Garamond" w:hAnsi="Garamond" w:cs="Garamond"/>
        <w:b w:val="0"/>
        <w:i w:val="0"/>
        <w:strike w:val="0"/>
        <w:color w:val="000000"/>
        <w:sz w:val="24"/>
        <w:szCs w:val="24"/>
        <w:u w:val="none"/>
        <w:shd w:val="clear" w:color="auto" w:fill="auto"/>
        <w:vertAlign w:val="baseline"/>
      </w:rPr>
    </w:lvl>
    <w:lvl w:ilvl="2">
      <w:start w:val="1"/>
      <w:numFmt w:val="lowerRoman"/>
      <w:lvlText w:val="%3"/>
      <w:lvlJc w:val="left"/>
      <w:pPr>
        <w:ind w:left="1363" w:hanging="1363"/>
      </w:pPr>
      <w:rPr>
        <w:rFonts w:ascii="Garamond" w:eastAsia="Garamond" w:hAnsi="Garamond" w:cs="Garamond"/>
        <w:b w:val="0"/>
        <w:i w:val="0"/>
        <w:strike w:val="0"/>
        <w:color w:val="000000"/>
        <w:sz w:val="24"/>
        <w:szCs w:val="24"/>
        <w:u w:val="none"/>
        <w:shd w:val="clear" w:color="auto" w:fill="auto"/>
        <w:vertAlign w:val="baseline"/>
      </w:rPr>
    </w:lvl>
    <w:lvl w:ilvl="3">
      <w:start w:val="1"/>
      <w:numFmt w:val="decimal"/>
      <w:lvlText w:val="%4"/>
      <w:lvlJc w:val="left"/>
      <w:pPr>
        <w:ind w:left="2083" w:hanging="2083"/>
      </w:pPr>
      <w:rPr>
        <w:rFonts w:ascii="Garamond" w:eastAsia="Garamond" w:hAnsi="Garamond" w:cs="Garamond"/>
        <w:b w:val="0"/>
        <w:i w:val="0"/>
        <w:strike w:val="0"/>
        <w:color w:val="000000"/>
        <w:sz w:val="24"/>
        <w:szCs w:val="24"/>
        <w:u w:val="none"/>
        <w:shd w:val="clear" w:color="auto" w:fill="auto"/>
        <w:vertAlign w:val="baseline"/>
      </w:rPr>
    </w:lvl>
    <w:lvl w:ilvl="4">
      <w:start w:val="1"/>
      <w:numFmt w:val="lowerLetter"/>
      <w:lvlText w:val="%5"/>
      <w:lvlJc w:val="left"/>
      <w:pPr>
        <w:ind w:left="2803" w:hanging="2803"/>
      </w:pPr>
      <w:rPr>
        <w:rFonts w:ascii="Garamond" w:eastAsia="Garamond" w:hAnsi="Garamond" w:cs="Garamond"/>
        <w:b w:val="0"/>
        <w:i w:val="0"/>
        <w:strike w:val="0"/>
        <w:color w:val="000000"/>
        <w:sz w:val="24"/>
        <w:szCs w:val="24"/>
        <w:u w:val="none"/>
        <w:shd w:val="clear" w:color="auto" w:fill="auto"/>
        <w:vertAlign w:val="baseline"/>
      </w:rPr>
    </w:lvl>
    <w:lvl w:ilvl="5">
      <w:start w:val="1"/>
      <w:numFmt w:val="lowerRoman"/>
      <w:lvlText w:val="%6"/>
      <w:lvlJc w:val="left"/>
      <w:pPr>
        <w:ind w:left="3523" w:hanging="3523"/>
      </w:pPr>
      <w:rPr>
        <w:rFonts w:ascii="Garamond" w:eastAsia="Garamond" w:hAnsi="Garamond" w:cs="Garamond"/>
        <w:b w:val="0"/>
        <w:i w:val="0"/>
        <w:strike w:val="0"/>
        <w:color w:val="000000"/>
        <w:sz w:val="24"/>
        <w:szCs w:val="24"/>
        <w:u w:val="none"/>
        <w:shd w:val="clear" w:color="auto" w:fill="auto"/>
        <w:vertAlign w:val="baseline"/>
      </w:rPr>
    </w:lvl>
    <w:lvl w:ilvl="6">
      <w:start w:val="1"/>
      <w:numFmt w:val="decimal"/>
      <w:lvlText w:val="%7"/>
      <w:lvlJc w:val="left"/>
      <w:pPr>
        <w:ind w:left="4243" w:hanging="4243"/>
      </w:pPr>
      <w:rPr>
        <w:rFonts w:ascii="Garamond" w:eastAsia="Garamond" w:hAnsi="Garamond" w:cs="Garamond"/>
        <w:b w:val="0"/>
        <w:i w:val="0"/>
        <w:strike w:val="0"/>
        <w:color w:val="000000"/>
        <w:sz w:val="24"/>
        <w:szCs w:val="24"/>
        <w:u w:val="none"/>
        <w:shd w:val="clear" w:color="auto" w:fill="auto"/>
        <w:vertAlign w:val="baseline"/>
      </w:rPr>
    </w:lvl>
    <w:lvl w:ilvl="7">
      <w:start w:val="1"/>
      <w:numFmt w:val="lowerLetter"/>
      <w:lvlText w:val="%8"/>
      <w:lvlJc w:val="left"/>
      <w:pPr>
        <w:ind w:left="4963" w:hanging="4963"/>
      </w:pPr>
      <w:rPr>
        <w:rFonts w:ascii="Garamond" w:eastAsia="Garamond" w:hAnsi="Garamond" w:cs="Garamond"/>
        <w:b w:val="0"/>
        <w:i w:val="0"/>
        <w:strike w:val="0"/>
        <w:color w:val="000000"/>
        <w:sz w:val="24"/>
        <w:szCs w:val="24"/>
        <w:u w:val="none"/>
        <w:shd w:val="clear" w:color="auto" w:fill="auto"/>
        <w:vertAlign w:val="baseline"/>
      </w:rPr>
    </w:lvl>
    <w:lvl w:ilvl="8">
      <w:start w:val="1"/>
      <w:numFmt w:val="lowerRoman"/>
      <w:lvlText w:val="%9"/>
      <w:lvlJc w:val="left"/>
      <w:pPr>
        <w:ind w:left="5683" w:hanging="5683"/>
      </w:pPr>
      <w:rPr>
        <w:rFonts w:ascii="Garamond" w:eastAsia="Garamond" w:hAnsi="Garamond" w:cs="Garamond"/>
        <w:b w:val="0"/>
        <w:i w:val="0"/>
        <w:strike w:val="0"/>
        <w:color w:val="000000"/>
        <w:sz w:val="24"/>
        <w:szCs w:val="24"/>
        <w:u w:val="none"/>
        <w:shd w:val="clear" w:color="auto" w:fill="auto"/>
        <w:vertAlign w:val="baseline"/>
      </w:r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characterSpacingControl w:val="doNotCompress"/>
  <w:footnotePr>
    <w:footnote w:id="0"/>
    <w:footnote w:id="1"/>
  </w:footnotePr>
  <w:endnotePr>
    <w:endnote w:id="0"/>
    <w:endnote w:id="1"/>
  </w:endnotePr>
  <w:compat/>
  <w:rsids>
    <w:rsidRoot w:val="00F8547E"/>
    <w:rsid w:val="002F2C20"/>
    <w:rsid w:val="005A3776"/>
    <w:rsid w:val="00640112"/>
    <w:rsid w:val="00776B17"/>
    <w:rsid w:val="00AD0190"/>
    <w:rsid w:val="00F854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Garamond" w:hAnsi="Garamond" w:cs="Garamond"/>
        <w:sz w:val="24"/>
        <w:szCs w:val="24"/>
        <w:lang w:val="it-IT" w:eastAsia="en-US" w:bidi="ar-SA"/>
      </w:rPr>
    </w:rPrDefault>
    <w:pPrDefault>
      <w:pPr>
        <w:spacing w:after="3" w:line="232" w:lineRule="auto"/>
        <w:ind w:left="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C20"/>
  </w:style>
  <w:style w:type="paragraph" w:styleId="Titolo1">
    <w:name w:val="heading 1"/>
    <w:basedOn w:val="Normale"/>
    <w:next w:val="Normale"/>
    <w:uiPriority w:val="9"/>
    <w:qFormat/>
    <w:rsid w:val="002F2C20"/>
    <w:pPr>
      <w:keepNext/>
      <w:keepLines/>
      <w:pBdr>
        <w:top w:val="nil"/>
        <w:left w:val="nil"/>
        <w:bottom w:val="nil"/>
        <w:right w:val="nil"/>
        <w:between w:val="nil"/>
      </w:pBdr>
      <w:spacing w:after="5" w:line="259" w:lineRule="auto"/>
      <w:ind w:right="8" w:hanging="10"/>
      <w:jc w:val="center"/>
      <w:outlineLvl w:val="0"/>
    </w:pPr>
    <w:rPr>
      <w:color w:val="000000"/>
      <w:sz w:val="19"/>
      <w:szCs w:val="19"/>
    </w:rPr>
  </w:style>
  <w:style w:type="paragraph" w:styleId="Titolo2">
    <w:name w:val="heading 2"/>
    <w:basedOn w:val="Normale"/>
    <w:next w:val="Normale"/>
    <w:uiPriority w:val="9"/>
    <w:unhideWhenUsed/>
    <w:qFormat/>
    <w:rsid w:val="002F2C20"/>
    <w:pPr>
      <w:keepNext/>
      <w:keepLines/>
      <w:pBdr>
        <w:top w:val="nil"/>
        <w:left w:val="nil"/>
        <w:bottom w:val="nil"/>
        <w:right w:val="nil"/>
        <w:between w:val="nil"/>
      </w:pBdr>
      <w:spacing w:after="0" w:line="259" w:lineRule="auto"/>
      <w:ind w:hanging="10"/>
      <w:jc w:val="left"/>
      <w:outlineLvl w:val="1"/>
    </w:pPr>
    <w:rPr>
      <w:b/>
      <w:color w:val="000000"/>
    </w:rPr>
  </w:style>
  <w:style w:type="paragraph" w:styleId="Titolo3">
    <w:name w:val="heading 3"/>
    <w:basedOn w:val="Normale"/>
    <w:next w:val="Normale"/>
    <w:uiPriority w:val="9"/>
    <w:semiHidden/>
    <w:unhideWhenUsed/>
    <w:qFormat/>
    <w:rsid w:val="002F2C20"/>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2F2C20"/>
    <w:pPr>
      <w:keepNext/>
      <w:keepLines/>
      <w:spacing w:before="240" w:after="40"/>
      <w:outlineLvl w:val="3"/>
    </w:pPr>
    <w:rPr>
      <w:b/>
    </w:rPr>
  </w:style>
  <w:style w:type="paragraph" w:styleId="Titolo5">
    <w:name w:val="heading 5"/>
    <w:basedOn w:val="Normale"/>
    <w:next w:val="Normale"/>
    <w:uiPriority w:val="9"/>
    <w:semiHidden/>
    <w:unhideWhenUsed/>
    <w:qFormat/>
    <w:rsid w:val="002F2C20"/>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2F2C2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rsid w:val="002F2C20"/>
    <w:pPr>
      <w:keepNext/>
      <w:keepLines/>
      <w:spacing w:before="480" w:after="120"/>
    </w:pPr>
    <w:rPr>
      <w:b/>
      <w:sz w:val="72"/>
      <w:szCs w:val="72"/>
    </w:rPr>
  </w:style>
  <w:style w:type="paragraph" w:styleId="Sottotitolo">
    <w:name w:val="Subtitle"/>
    <w:basedOn w:val="Normale"/>
    <w:next w:val="Normale"/>
    <w:uiPriority w:val="11"/>
    <w:qFormat/>
    <w:rsid w:val="002F2C20"/>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5A37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7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2005</Words>
  <Characters>11434</Characters>
  <Application>Microsoft Office Word</Application>
  <DocSecurity>0</DocSecurity>
  <Lines>95</Lines>
  <Paragraphs>26</Paragraphs>
  <ScaleCrop>false</ScaleCrop>
  <Company/>
  <LinksUpToDate>false</LinksUpToDate>
  <CharactersWithSpaces>13413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ROMANITAS</dc:creator>
  <cp:lastModifiedBy>ROMANITAS</cp:lastModifiedBy>
  <cp:revision>2</cp:revision>
  <dcterms:created xsi:type="dcterms:W3CDTF">2020-04-15T11:06:00Z</dcterms:created>
  <dcterms:modified xsi:type="dcterms:W3CDTF">2020-04-15T11:06:00Z</dcterms:modified>
</cp:coreProperties>
</file>